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8FA9" w14:textId="06420C5B" w:rsidR="006C0A3B" w:rsidRPr="006C0A3B" w:rsidRDefault="00351C20" w:rsidP="00603B41">
      <w:pPr>
        <w:rPr>
          <w:b/>
          <w:bCs/>
        </w:rPr>
      </w:pPr>
      <w:r>
        <w:rPr>
          <w:noProof/>
        </w:rPr>
        <w:drawing>
          <wp:anchor distT="0" distB="0" distL="114300" distR="114300" simplePos="0" relativeHeight="251659264" behindDoc="1" locked="0" layoutInCell="1" allowOverlap="1" wp14:anchorId="6C8E0308" wp14:editId="15777D52">
            <wp:simplePos x="0" y="0"/>
            <wp:positionH relativeFrom="column">
              <wp:posOffset>-930910</wp:posOffset>
            </wp:positionH>
            <wp:positionV relativeFrom="paragraph">
              <wp:posOffset>-923397</wp:posOffset>
            </wp:positionV>
            <wp:extent cx="7777480" cy="10058400"/>
            <wp:effectExtent l="0" t="0" r="0" b="0"/>
            <wp:wrapNone/>
            <wp:docPr id="6" name="Picture 6" descr="newaddress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addressletterhead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777748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36B1A" w14:textId="77777777" w:rsidR="00603B41" w:rsidRDefault="00603B41"/>
    <w:p w14:paraId="3A1696D8" w14:textId="66C0CD89" w:rsidR="00603B41" w:rsidRPr="00603B41" w:rsidRDefault="00127723" w:rsidP="00603B41">
      <w:pPr>
        <w:jc w:val="right"/>
      </w:pPr>
      <w:r>
        <w:t>December 1, 2020</w:t>
      </w:r>
    </w:p>
    <w:p w14:paraId="08A0B5B3" w14:textId="77777777" w:rsidR="00603B41" w:rsidRDefault="00603B41" w:rsidP="00603B41">
      <w:pPr>
        <w:jc w:val="right"/>
        <w:rPr>
          <w:b/>
          <w:bCs/>
        </w:rPr>
      </w:pPr>
    </w:p>
    <w:p w14:paraId="3E3822F7" w14:textId="1C094E5E" w:rsidR="00603B41" w:rsidRDefault="00603B41" w:rsidP="00603B41">
      <w:pPr>
        <w:jc w:val="center"/>
        <w:rPr>
          <w:b/>
          <w:bCs/>
        </w:rPr>
      </w:pPr>
      <w:r>
        <w:rPr>
          <w:b/>
          <w:bCs/>
        </w:rPr>
        <w:t>L</w:t>
      </w:r>
      <w:r w:rsidRPr="006C0A3B">
        <w:rPr>
          <w:b/>
          <w:bCs/>
        </w:rPr>
        <w:t>EGISLATIVE REMEDIES TO PREVENT VACCINE MANDATES</w:t>
      </w:r>
    </w:p>
    <w:p w14:paraId="4C4BDBC0" w14:textId="77777777" w:rsidR="00603B41" w:rsidRPr="006C0A3B" w:rsidRDefault="00603B41" w:rsidP="00603B41">
      <w:pPr>
        <w:jc w:val="center"/>
        <w:rPr>
          <w:b/>
          <w:bCs/>
        </w:rPr>
      </w:pPr>
    </w:p>
    <w:p w14:paraId="4B0D3846" w14:textId="7587EEC6" w:rsidR="00562407" w:rsidRDefault="00127723">
      <w:r>
        <w:t>W</w:t>
      </w:r>
      <w:r w:rsidR="00A07F92">
        <w:t xml:space="preserve">eighing heavily on the minds of so many is </w:t>
      </w:r>
      <w:r>
        <w:t xml:space="preserve">whether </w:t>
      </w:r>
      <w:r w:rsidR="00A07F92">
        <w:t xml:space="preserve">they </w:t>
      </w:r>
      <w:r w:rsidR="00C314B0">
        <w:t xml:space="preserve">will </w:t>
      </w:r>
      <w:r w:rsidR="00A07F92">
        <w:t xml:space="preserve">be </w:t>
      </w:r>
      <w:r>
        <w:t xml:space="preserve">effectively </w:t>
      </w:r>
      <w:r w:rsidR="00A07F92">
        <w:t>forced to take a</w:t>
      </w:r>
      <w:r w:rsidR="00562407">
        <w:t xml:space="preserve"> </w:t>
      </w:r>
      <w:r w:rsidR="00A07F92">
        <w:t>vaccine</w:t>
      </w:r>
      <w:r w:rsidR="00562407">
        <w:t xml:space="preserve"> to be able to</w:t>
      </w:r>
      <w:r>
        <w:t xml:space="preserve"> reasonably</w:t>
      </w:r>
      <w:r w:rsidR="00562407">
        <w:t xml:space="preserve"> function in society</w:t>
      </w:r>
      <w:r w:rsidR="00A07F92">
        <w:t xml:space="preserve">.  </w:t>
      </w:r>
      <w:r>
        <w:t>We have n</w:t>
      </w:r>
      <w:r w:rsidR="00A07F92">
        <w:t xml:space="preserve">ot only </w:t>
      </w:r>
      <w:r>
        <w:t xml:space="preserve">witnessed the </w:t>
      </w:r>
      <w:r w:rsidR="00A07F92">
        <w:t>abuse of emergency powers by governors and local health officers, we have all experienced draconian societal</w:t>
      </w:r>
      <w:r w:rsidR="00562407">
        <w:t xml:space="preserve"> restrictions and</w:t>
      </w:r>
      <w:r w:rsidR="00A07F92">
        <w:t xml:space="preserve"> mandates</w:t>
      </w:r>
      <w:r w:rsidR="00562407">
        <w:t xml:space="preserve"> based on tests with questionable reliability </w:t>
      </w:r>
      <w:r>
        <w:t>and lack</w:t>
      </w:r>
      <w:r w:rsidR="00C11B26">
        <w:t>ing</w:t>
      </w:r>
      <w:r>
        <w:t xml:space="preserve"> </w:t>
      </w:r>
      <w:r w:rsidR="00ED202C">
        <w:t>adequate scientific support</w:t>
      </w:r>
      <w:r w:rsidR="00562407">
        <w:t xml:space="preserve">. </w:t>
      </w:r>
    </w:p>
    <w:p w14:paraId="0A3FBECF" w14:textId="4329AF4D" w:rsidR="006C0A3B" w:rsidRDefault="00493705">
      <w:r>
        <w:t>T</w:t>
      </w:r>
      <w:r w:rsidR="00ED202C">
        <w:t xml:space="preserve">he writing is on the wall where things </w:t>
      </w:r>
      <w:r w:rsidR="006C0A3B">
        <w:t>could be headed</w:t>
      </w:r>
      <w:r>
        <w:t xml:space="preserve">. Rather than passively waiting, </w:t>
      </w:r>
      <w:r w:rsidR="00562407">
        <w:t xml:space="preserve">citizens and </w:t>
      </w:r>
      <w:r>
        <w:t xml:space="preserve">their </w:t>
      </w:r>
      <w:r w:rsidR="00562407">
        <w:t xml:space="preserve">legislators </w:t>
      </w:r>
      <w:r w:rsidR="006C0A3B">
        <w:t>are tak</w:t>
      </w:r>
      <w:r>
        <w:t xml:space="preserve">ing </w:t>
      </w:r>
      <w:r w:rsidR="006C0A3B">
        <w:t xml:space="preserve">preemptive action to </w:t>
      </w:r>
      <w:r>
        <w:t xml:space="preserve">try to </w:t>
      </w:r>
      <w:r w:rsidR="00ED202C">
        <w:t xml:space="preserve">put </w:t>
      </w:r>
      <w:r>
        <w:t xml:space="preserve">laws </w:t>
      </w:r>
      <w:r w:rsidR="00ED202C">
        <w:t>in place</w:t>
      </w:r>
      <w:r>
        <w:t xml:space="preserve"> to </w:t>
      </w:r>
      <w:r w:rsidR="00ED202C">
        <w:t xml:space="preserve">prevent </w:t>
      </w:r>
      <w:r>
        <w:t xml:space="preserve">forced </w:t>
      </w:r>
      <w:r w:rsidR="00ED202C">
        <w:t>vaccinations</w:t>
      </w:r>
      <w:r>
        <w:t xml:space="preserve">. </w:t>
      </w:r>
      <w:r w:rsidR="006C0A3B">
        <w:t xml:space="preserve"> </w:t>
      </w:r>
    </w:p>
    <w:p w14:paraId="496D33C4" w14:textId="2268D3FC" w:rsidR="00887AB4" w:rsidRDefault="006C0A3B">
      <w:r>
        <w:t>The</w:t>
      </w:r>
      <w:r w:rsidR="00493705">
        <w:t xml:space="preserve"> following </w:t>
      </w:r>
      <w:r>
        <w:t xml:space="preserve">notes can be submitted by a legislator to </w:t>
      </w:r>
      <w:r w:rsidR="00023EA5">
        <w:t xml:space="preserve">their </w:t>
      </w:r>
      <w:r>
        <w:t xml:space="preserve">states’ legislative drafting services to prepare bills to be filed and passed in each state. </w:t>
      </w:r>
      <w:r w:rsidR="00CF54D6">
        <w:t>“</w:t>
      </w:r>
      <w:r w:rsidR="00174E00">
        <w:t>Italicized</w:t>
      </w:r>
      <w:r w:rsidR="00CF54D6">
        <w:t>”</w:t>
      </w:r>
      <w:r w:rsidR="00475FE6">
        <w:t xml:space="preserve"> text </w:t>
      </w:r>
      <w:r w:rsidR="00174E00">
        <w:t>contains</w:t>
      </w:r>
      <w:r w:rsidR="00475FE6">
        <w:t xml:space="preserve"> generalized suggest</w:t>
      </w:r>
      <w:r w:rsidR="00174E00">
        <w:t xml:space="preserve">ed </w:t>
      </w:r>
      <w:r w:rsidR="00CF54D6">
        <w:t>changes</w:t>
      </w:r>
      <w:r w:rsidR="00174E00">
        <w:t xml:space="preserve"> to existing </w:t>
      </w:r>
      <w:r w:rsidR="00475FE6">
        <w:t>state laws</w:t>
      </w:r>
      <w:r w:rsidR="00CF54D6">
        <w:t xml:space="preserve">, </w:t>
      </w:r>
      <w:r w:rsidR="00475FE6">
        <w:t xml:space="preserve">and </w:t>
      </w:r>
      <w:r w:rsidR="00493705">
        <w:t xml:space="preserve">the </w:t>
      </w:r>
      <w:r w:rsidR="00CF54D6">
        <w:t>“</w:t>
      </w:r>
      <w:r w:rsidR="00174E00">
        <w:t>regular</w:t>
      </w:r>
      <w:r w:rsidR="00CF54D6">
        <w:t>”</w:t>
      </w:r>
      <w:r w:rsidR="00174E00">
        <w:t xml:space="preserve"> text is model language. </w:t>
      </w:r>
      <w:r>
        <w:t xml:space="preserve">This document will be </w:t>
      </w:r>
      <w:r w:rsidR="00023EA5">
        <w:t xml:space="preserve">expanded </w:t>
      </w:r>
      <w:r>
        <w:t xml:space="preserve">and </w:t>
      </w:r>
      <w:r w:rsidR="00023EA5">
        <w:t xml:space="preserve">regularly </w:t>
      </w:r>
      <w:r>
        <w:t>updated on</w:t>
      </w:r>
      <w:r w:rsidR="00ED202C">
        <w:t xml:space="preserve"> </w:t>
      </w:r>
      <w:hyperlink r:id="rId9" w:history="1">
        <w:r w:rsidR="00493705" w:rsidRPr="00E06BA0">
          <w:rPr>
            <w:rStyle w:val="Hyperlink"/>
          </w:rPr>
          <w:t>https://www.nvicadvocacy.org/members/Resources/LegislativeVaccineIssues/PreventMandates.aspx</w:t>
        </w:r>
      </w:hyperlink>
      <w:r w:rsidR="00174E00">
        <w:t xml:space="preserve"> </w:t>
      </w:r>
    </w:p>
    <w:p w14:paraId="4F1E6280" w14:textId="3A6AF81D" w:rsidR="00A07F92" w:rsidRDefault="00887AB4">
      <w:r>
        <w:t>WARNING: Watch proposed rules in your state carefully.  Some state health agencies are already attempting to bypass the legislature and exploit their rule making authority to mandate vaccines or enact penalties for refusing a vaccine.</w:t>
      </w:r>
      <w:r w:rsidR="00562407">
        <w:t xml:space="preserve"> </w:t>
      </w:r>
      <w:r w:rsidR="00A07F92">
        <w:t xml:space="preserve">  </w:t>
      </w:r>
    </w:p>
    <w:p w14:paraId="4A6C7F67" w14:textId="2B03D4EE" w:rsidR="00270935" w:rsidRDefault="00270935">
      <w:r w:rsidRPr="006C0A3B">
        <w:rPr>
          <w:b/>
          <w:bCs/>
        </w:rPr>
        <w:t>Employment Protection</w:t>
      </w:r>
      <w:r w:rsidR="006C0A3B" w:rsidRPr="006C0A3B">
        <w:rPr>
          <w:b/>
          <w:bCs/>
        </w:rPr>
        <w:t>: Prevent Vaccine Mandates by Employers</w:t>
      </w:r>
      <w:r w:rsidR="000033B9">
        <w:rPr>
          <w:b/>
          <w:bCs/>
        </w:rPr>
        <w:t xml:space="preserve">, </w:t>
      </w:r>
      <w:r w:rsidRPr="000033B9">
        <w:rPr>
          <w:b/>
          <w:bCs/>
        </w:rPr>
        <w:t xml:space="preserve">Amend </w:t>
      </w:r>
      <w:r w:rsidR="006C0A3B" w:rsidRPr="000033B9">
        <w:rPr>
          <w:b/>
          <w:bCs/>
        </w:rPr>
        <w:t xml:space="preserve">State </w:t>
      </w:r>
      <w:r w:rsidRPr="000033B9">
        <w:rPr>
          <w:b/>
          <w:bCs/>
        </w:rPr>
        <w:t>Employment or Labor Code</w:t>
      </w:r>
    </w:p>
    <w:p w14:paraId="5198649D" w14:textId="7E46012C" w:rsidR="000033B9" w:rsidRDefault="000033B9" w:rsidP="000033B9">
      <w:bookmarkStart w:id="0" w:name="la102.21.551"/>
      <w:bookmarkEnd w:id="0"/>
      <w:r>
        <w:t>Employee Protection, Right to Object</w:t>
      </w:r>
    </w:p>
    <w:p w14:paraId="61F98FB6" w14:textId="3CBACF57" w:rsidR="00551E22" w:rsidRPr="00551E22" w:rsidRDefault="00551E22" w:rsidP="000033B9">
      <w:pPr>
        <w:ind w:left="720"/>
      </w:pPr>
      <w:r w:rsidRPr="00551E22">
        <w:t xml:space="preserve">An employer commits an unlawful employment practice if the employer fails or refuses to hire, discharges, </w:t>
      </w:r>
      <w:r w:rsidR="00493705">
        <w:t xml:space="preserve">penalizes </w:t>
      </w:r>
      <w:r w:rsidRPr="00551E22">
        <w:t>or otherwise discriminates against an individual with respect to compensation or the terms, conditions, or privileges of employment:</w:t>
      </w:r>
    </w:p>
    <w:p w14:paraId="3E0B191A" w14:textId="2A219A7A" w:rsidR="00551E22" w:rsidRPr="00551E22" w:rsidRDefault="00551E22" w:rsidP="00E65D52">
      <w:pPr>
        <w:pStyle w:val="ListParagraph"/>
        <w:numPr>
          <w:ilvl w:val="0"/>
          <w:numId w:val="4"/>
        </w:numPr>
      </w:pPr>
      <w:r w:rsidRPr="00551E22">
        <w:t>on the basis of the individual’s</w:t>
      </w:r>
      <w:r w:rsidR="00023EA5">
        <w:t xml:space="preserve"> vaccination h</w:t>
      </w:r>
      <w:r w:rsidRPr="00551E22">
        <w:t xml:space="preserve">istory; </w:t>
      </w:r>
      <w:r w:rsidR="00843366">
        <w:t>or</w:t>
      </w:r>
    </w:p>
    <w:p w14:paraId="4ACEC812" w14:textId="405B720F" w:rsidR="00551E22" w:rsidRDefault="00551E22" w:rsidP="00E65D52">
      <w:pPr>
        <w:pStyle w:val="ListParagraph"/>
        <w:numPr>
          <w:ilvl w:val="0"/>
          <w:numId w:val="4"/>
        </w:numPr>
      </w:pPr>
      <w:r w:rsidRPr="00551E22">
        <w:t xml:space="preserve">because of the refusal of the individual to </w:t>
      </w:r>
      <w:r w:rsidR="00023EA5">
        <w:t>receive a vaccine</w:t>
      </w:r>
      <w:r w:rsidR="00E45DA3">
        <w:t xml:space="preserve"> or provide proof of immunity</w:t>
      </w:r>
      <w:r w:rsidR="00843366">
        <w:t>.</w:t>
      </w:r>
      <w:r w:rsidR="00493705">
        <w:t xml:space="preserve"> </w:t>
      </w:r>
    </w:p>
    <w:p w14:paraId="48031741" w14:textId="2EC7FB44" w:rsidR="00551E22" w:rsidRPr="00551E22" w:rsidRDefault="00270935" w:rsidP="000033B9">
      <w:pPr>
        <w:ind w:left="-720" w:firstLine="720"/>
      </w:pPr>
      <w:r>
        <w:t>Medical Provider Protection</w:t>
      </w:r>
      <w:r w:rsidR="00023EA5">
        <w:t xml:space="preserve">, </w:t>
      </w:r>
      <w:bookmarkStart w:id="1" w:name="oc001.103.001"/>
      <w:bookmarkEnd w:id="1"/>
      <w:r w:rsidR="00551E22" w:rsidRPr="00551E22">
        <w:rPr>
          <w:bCs/>
        </w:rPr>
        <w:t>Right to Object</w:t>
      </w:r>
    </w:p>
    <w:p w14:paraId="399FE7D0" w14:textId="7B10A214" w:rsidR="00551E22" w:rsidRPr="00551E22" w:rsidRDefault="00551E22" w:rsidP="00E65D52">
      <w:pPr>
        <w:pStyle w:val="ListParagraph"/>
        <w:numPr>
          <w:ilvl w:val="0"/>
          <w:numId w:val="3"/>
        </w:numPr>
      </w:pPr>
      <w:r w:rsidRPr="00551E22">
        <w:lastRenderedPageBreak/>
        <w:t>A physician, nurse, staff member, o</w:t>
      </w:r>
      <w:r w:rsidR="00D540EE">
        <w:t xml:space="preserve">r </w:t>
      </w:r>
      <w:r w:rsidRPr="00551E22">
        <w:t>employee of a hospital or other health care facility who objects to receiving a</w:t>
      </w:r>
      <w:r w:rsidR="00497BD9">
        <w:t xml:space="preserve"> vaccine</w:t>
      </w:r>
      <w:r w:rsidRPr="00551E22">
        <w:t xml:space="preserve"> shall not be required to be </w:t>
      </w:r>
      <w:r w:rsidR="00497BD9">
        <w:t>vaccinated</w:t>
      </w:r>
      <w:r w:rsidR="007819E2">
        <w:t xml:space="preserve"> as a condition of employment</w:t>
      </w:r>
      <w:r w:rsidR="00660A0E">
        <w:t>.</w:t>
      </w:r>
      <w:r w:rsidR="00497BD9">
        <w:t xml:space="preserve"> </w:t>
      </w:r>
    </w:p>
    <w:p w14:paraId="1E581AFC" w14:textId="4946C81E" w:rsidR="006E2F03" w:rsidRDefault="000033B9" w:rsidP="00E65D52">
      <w:pPr>
        <w:pStyle w:val="ListParagraph"/>
        <w:numPr>
          <w:ilvl w:val="0"/>
          <w:numId w:val="3"/>
        </w:numPr>
      </w:pPr>
      <w:bookmarkStart w:id="2" w:name="oc002.103.002"/>
      <w:bookmarkEnd w:id="2"/>
      <w:r>
        <w:t xml:space="preserve">A </w:t>
      </w:r>
      <w:r w:rsidR="00551E22" w:rsidRPr="00551E22">
        <w:t xml:space="preserve">hospital or health care facility </w:t>
      </w:r>
      <w:r>
        <w:t xml:space="preserve">shall </w:t>
      </w:r>
      <w:r w:rsidR="00551E22" w:rsidRPr="00551E22">
        <w:t>not discriminate against a</w:t>
      </w:r>
      <w:r w:rsidR="00497BD9">
        <w:t>ny employee including</w:t>
      </w:r>
      <w:r w:rsidR="00551E22" w:rsidRPr="00551E22">
        <w:t xml:space="preserve"> </w:t>
      </w:r>
      <w:r w:rsidR="00497BD9">
        <w:t xml:space="preserve">a </w:t>
      </w:r>
      <w:r w:rsidR="00551E22" w:rsidRPr="00551E22">
        <w:t xml:space="preserve">physician, nurse, staff member, or an applicant who refuses to receive </w:t>
      </w:r>
      <w:r w:rsidR="002B557E">
        <w:t>a vaccine</w:t>
      </w:r>
      <w:r w:rsidR="00843366">
        <w:t>.</w:t>
      </w:r>
      <w:r w:rsidR="00551E22" w:rsidRPr="00551E22">
        <w:t xml:space="preserve"> </w:t>
      </w:r>
    </w:p>
    <w:p w14:paraId="59128E02" w14:textId="1777E279" w:rsidR="000F5AA0" w:rsidRPr="00551E22" w:rsidRDefault="000F5AA0" w:rsidP="00865941">
      <w:pPr>
        <w:pStyle w:val="ListParagraph"/>
        <w:numPr>
          <w:ilvl w:val="0"/>
          <w:numId w:val="3"/>
        </w:numPr>
      </w:pPr>
      <w:r w:rsidRPr="000F5AA0">
        <w:t xml:space="preserve">A licensing authority may not deny an application for an occupational license, suspend, revoke, or refuse to renew an occupational license, or take any other disciplinary action against a license holder based on the </w:t>
      </w:r>
      <w:r>
        <w:t xml:space="preserve">vaccination </w:t>
      </w:r>
      <w:r w:rsidRPr="000F5AA0">
        <w:t>history of the license applicant or license holder</w:t>
      </w:r>
      <w:r w:rsidR="00843366">
        <w:t>.</w:t>
      </w:r>
    </w:p>
    <w:p w14:paraId="21FA8190" w14:textId="77777777" w:rsidR="00551E22" w:rsidRPr="00551E22" w:rsidRDefault="00551E22" w:rsidP="00551E22">
      <w:r w:rsidRPr="00551E22">
        <w:rPr>
          <w:bCs/>
        </w:rPr>
        <w:t>Remedies</w:t>
      </w:r>
    </w:p>
    <w:p w14:paraId="22494529" w14:textId="1C3764D1" w:rsidR="00551E22" w:rsidRPr="00551E22" w:rsidRDefault="00551E22" w:rsidP="006E2F03">
      <w:pPr>
        <w:ind w:left="720"/>
      </w:pPr>
      <w:r w:rsidRPr="00551E22">
        <w:t>A person whose rights under this chapter are violated may sue a</w:t>
      </w:r>
      <w:r w:rsidR="000033B9">
        <w:t>n employer,</w:t>
      </w:r>
      <w:r w:rsidRPr="00551E22">
        <w:t xml:space="preserve"> hospital, </w:t>
      </w:r>
      <w:r w:rsidR="006E2F03">
        <w:t xml:space="preserve">or </w:t>
      </w:r>
      <w:r w:rsidRPr="00551E22">
        <w:t>health care facility in district court in the county where the hospital, facility, or institution is located for:</w:t>
      </w:r>
    </w:p>
    <w:p w14:paraId="6FEEF32F" w14:textId="51D1C62F" w:rsidR="00551E22" w:rsidRPr="00551E22" w:rsidRDefault="00551E22" w:rsidP="00865941">
      <w:pPr>
        <w:pStyle w:val="ListParagraph"/>
        <w:numPr>
          <w:ilvl w:val="0"/>
          <w:numId w:val="14"/>
        </w:numPr>
      </w:pPr>
      <w:r w:rsidRPr="00551E22">
        <w:t>an injunction against any further violation;</w:t>
      </w:r>
    </w:p>
    <w:p w14:paraId="3CF4423E" w14:textId="3C437A99" w:rsidR="00551E22" w:rsidRPr="00551E22" w:rsidRDefault="00551E22" w:rsidP="00865941">
      <w:pPr>
        <w:pStyle w:val="ListParagraph"/>
        <w:numPr>
          <w:ilvl w:val="0"/>
          <w:numId w:val="14"/>
        </w:numPr>
      </w:pPr>
      <w:r w:rsidRPr="00551E22">
        <w:t>appropriate affirmative relief, including</w:t>
      </w:r>
      <w:r w:rsidR="00D540EE">
        <w:t>, but not limited to,</w:t>
      </w:r>
      <w:r w:rsidRPr="00551E22">
        <w:t xml:space="preserve"> admission or reinstatement of employment with back pay plus 10 percent interest; and</w:t>
      </w:r>
    </w:p>
    <w:p w14:paraId="019E1B38" w14:textId="1DE95F9C" w:rsidR="00551E22" w:rsidRPr="00551E22" w:rsidRDefault="00551E22" w:rsidP="00865941">
      <w:pPr>
        <w:pStyle w:val="ListParagraph"/>
        <w:numPr>
          <w:ilvl w:val="0"/>
          <w:numId w:val="14"/>
        </w:numPr>
      </w:pPr>
      <w:r w:rsidRPr="00551E22">
        <w:t>any other relief necessary to ensure compliance with this chapter.</w:t>
      </w:r>
    </w:p>
    <w:p w14:paraId="65B3FF7D" w14:textId="57B61B5D" w:rsidR="006E2F03" w:rsidRDefault="006E2F03" w:rsidP="006E2F03">
      <w:pPr>
        <w:rPr>
          <w:b/>
          <w:bCs/>
        </w:rPr>
      </w:pPr>
      <w:r>
        <w:rPr>
          <w:b/>
          <w:bCs/>
        </w:rPr>
        <w:t>Insurance</w:t>
      </w:r>
      <w:r w:rsidRPr="006C0A3B">
        <w:rPr>
          <w:b/>
          <w:bCs/>
        </w:rPr>
        <w:t xml:space="preserve"> Protection: Prevent Vaccine Mandates by </w:t>
      </w:r>
      <w:r>
        <w:rPr>
          <w:b/>
          <w:bCs/>
        </w:rPr>
        <w:t xml:space="preserve">Health and Life Insurance Plans, </w:t>
      </w:r>
      <w:r w:rsidRPr="000033B9">
        <w:rPr>
          <w:b/>
          <w:bCs/>
        </w:rPr>
        <w:t xml:space="preserve">Amend State </w:t>
      </w:r>
      <w:r>
        <w:rPr>
          <w:b/>
          <w:bCs/>
        </w:rPr>
        <w:t xml:space="preserve">Insurance </w:t>
      </w:r>
      <w:r w:rsidRPr="000033B9">
        <w:rPr>
          <w:b/>
          <w:bCs/>
        </w:rPr>
        <w:t>Code</w:t>
      </w:r>
    </w:p>
    <w:p w14:paraId="1B3DCF8D" w14:textId="0E768744" w:rsidR="000F5AA0" w:rsidRPr="000F5AA0" w:rsidRDefault="000F5AA0" w:rsidP="000F5AA0">
      <w:r w:rsidRPr="000F5AA0">
        <w:t>U</w:t>
      </w:r>
      <w:r>
        <w:t>se of Vaccination Status by Insurers and Those Who Rate Insurers</w:t>
      </w:r>
      <w:r w:rsidRPr="000F5AA0">
        <w:t xml:space="preserve"> </w:t>
      </w:r>
      <w:r w:rsidR="00F04E88">
        <w:t>Prohibited</w:t>
      </w:r>
    </w:p>
    <w:p w14:paraId="74A59447" w14:textId="117AD455" w:rsidR="000F5AA0" w:rsidRPr="000F5AA0" w:rsidRDefault="000F5AA0" w:rsidP="00865941">
      <w:pPr>
        <w:pStyle w:val="ListParagraph"/>
        <w:numPr>
          <w:ilvl w:val="0"/>
          <w:numId w:val="13"/>
        </w:numPr>
      </w:pPr>
      <w:r w:rsidRPr="000F5AA0">
        <w:t xml:space="preserve">A group health benefit plan </w:t>
      </w:r>
      <w:r w:rsidR="007E58D6">
        <w:t xml:space="preserve">or life insurance plan </w:t>
      </w:r>
      <w:r w:rsidRPr="000F5AA0">
        <w:t xml:space="preserve">issuer may not use </w:t>
      </w:r>
      <w:r>
        <w:t xml:space="preserve">vaccination </w:t>
      </w:r>
      <w:r w:rsidRPr="000F5AA0">
        <w:t>status information to reject, deny, limit, cancel, refuse to renew, increase the premiums for, limit the amount, extent, or kind of coverage available to the individual, or otherwise adversely affect eligibility for</w:t>
      </w:r>
      <w:r w:rsidR="00D540EE">
        <w:t xml:space="preserve">, </w:t>
      </w:r>
      <w:r w:rsidR="006A5DCB">
        <w:t xml:space="preserve">or deny a claim or any portion thereof </w:t>
      </w:r>
      <w:r w:rsidRPr="000F5AA0">
        <w:t>under the group health benefit plan.</w:t>
      </w:r>
    </w:p>
    <w:p w14:paraId="0F36703E" w14:textId="4702742A" w:rsidR="000F5AA0" w:rsidRPr="000F5AA0" w:rsidRDefault="000F5AA0" w:rsidP="00865941">
      <w:pPr>
        <w:pStyle w:val="ListParagraph"/>
        <w:numPr>
          <w:ilvl w:val="0"/>
          <w:numId w:val="13"/>
        </w:numPr>
      </w:pPr>
      <w:r w:rsidRPr="000F5AA0">
        <w:t xml:space="preserve">A group health benefit plan issuer may not use </w:t>
      </w:r>
      <w:r>
        <w:t>the vaccination</w:t>
      </w:r>
      <w:r w:rsidRPr="000F5AA0">
        <w:t xml:space="preserve"> status of the patients of a health care provider as a qualification or requirement for contracting with the provider or as a basis for terminating the contract with the provider.</w:t>
      </w:r>
    </w:p>
    <w:p w14:paraId="0787D8FD" w14:textId="3ECEFD26" w:rsidR="00E86F99" w:rsidRDefault="000F5AA0" w:rsidP="00865941">
      <w:pPr>
        <w:pStyle w:val="ListParagraph"/>
        <w:numPr>
          <w:ilvl w:val="0"/>
          <w:numId w:val="13"/>
        </w:numPr>
      </w:pPr>
      <w:r w:rsidRPr="000F5AA0">
        <w:t xml:space="preserve">It is prohibited to utilize </w:t>
      </w:r>
      <w:r>
        <w:t xml:space="preserve">the vaccination </w:t>
      </w:r>
      <w:r w:rsidRPr="000F5AA0">
        <w:t xml:space="preserve">status of individuals covered by a group health plan as a factor in the rating of a group health benefit plan that provides coverage in </w:t>
      </w:r>
      <w:r w:rsidR="00F04E88">
        <w:t>this state.</w:t>
      </w:r>
    </w:p>
    <w:p w14:paraId="367CA529" w14:textId="318DAEF7" w:rsidR="000F5AA0" w:rsidRPr="000F5AA0" w:rsidRDefault="00E86F99" w:rsidP="00865941">
      <w:pPr>
        <w:pStyle w:val="ListParagraph"/>
        <w:numPr>
          <w:ilvl w:val="0"/>
          <w:numId w:val="13"/>
        </w:numPr>
      </w:pPr>
      <w:r>
        <w:t>It is prohibited to utilize the vaccination status of individuals covered by a group health plan as a factor in terms of providing financial incentives or financial or other penalties on a participating provider.</w:t>
      </w:r>
      <w:r w:rsidR="000F5AA0" w:rsidRPr="000F5AA0">
        <w:t xml:space="preserve"> </w:t>
      </w:r>
    </w:p>
    <w:p w14:paraId="66D8D6EE" w14:textId="0F0126B0" w:rsidR="000F5AA0" w:rsidRPr="000F5AA0" w:rsidRDefault="00F04E88" w:rsidP="000F5AA0">
      <w:r>
        <w:t>Cease and Desist Order</w:t>
      </w:r>
      <w:r w:rsidR="00737A9F">
        <w:t xml:space="preserve">, Sanctions, or </w:t>
      </w:r>
      <w:r>
        <w:t>Administrative Penalty</w:t>
      </w:r>
    </w:p>
    <w:p w14:paraId="02E87BAF" w14:textId="2F6A8B8B" w:rsidR="000F5AA0" w:rsidRPr="00737A9F" w:rsidRDefault="00737A9F" w:rsidP="00F60193">
      <w:pPr>
        <w:ind w:left="720"/>
        <w:rPr>
          <w:i/>
          <w:iCs/>
        </w:rPr>
      </w:pPr>
      <w:r>
        <w:rPr>
          <w:i/>
          <w:iCs/>
        </w:rPr>
        <w:t>Utilize existing</w:t>
      </w:r>
      <w:r w:rsidR="00F60193">
        <w:rPr>
          <w:i/>
          <w:iCs/>
        </w:rPr>
        <w:t xml:space="preserve"> sanctions or administrative penalties for violations already codified in state law</w:t>
      </w:r>
      <w:r w:rsidR="00C97C9D">
        <w:rPr>
          <w:i/>
          <w:iCs/>
        </w:rPr>
        <w:t xml:space="preserve"> for other violations.</w:t>
      </w:r>
    </w:p>
    <w:p w14:paraId="12246C30" w14:textId="77777777" w:rsidR="00A05EDE" w:rsidRPr="005017A5" w:rsidRDefault="00A05EDE" w:rsidP="00A05EDE">
      <w:r>
        <w:rPr>
          <w:b/>
          <w:bCs/>
        </w:rPr>
        <w:lastRenderedPageBreak/>
        <w:t>Children and Students</w:t>
      </w:r>
      <w:r w:rsidRPr="006C0A3B">
        <w:rPr>
          <w:b/>
          <w:bCs/>
        </w:rPr>
        <w:t xml:space="preserve">: Prevent Vaccine Mandates </w:t>
      </w:r>
      <w:r>
        <w:rPr>
          <w:b/>
          <w:bCs/>
        </w:rPr>
        <w:t>by the State, Public and Private Schools, and Child Care Facilities, Amend State Education and Child Care Code</w:t>
      </w:r>
      <w:r>
        <w:t xml:space="preserve"> </w:t>
      </w:r>
    </w:p>
    <w:p w14:paraId="1A572556" w14:textId="77777777" w:rsidR="00A05EDE" w:rsidRDefault="00A05EDE" w:rsidP="00A05EDE">
      <w:pPr>
        <w:ind w:left="720"/>
        <w:rPr>
          <w:i/>
          <w:iCs/>
        </w:rPr>
      </w:pPr>
      <w:r>
        <w:rPr>
          <w:i/>
          <w:iCs/>
        </w:rPr>
        <w:t>Add a prohibition of vaccine mandates for children by executive order or agency rule.</w:t>
      </w:r>
    </w:p>
    <w:p w14:paraId="1C401B0D" w14:textId="77777777" w:rsidR="00A05EDE" w:rsidRDefault="00A05EDE" w:rsidP="00A05EDE">
      <w:pPr>
        <w:ind w:left="720"/>
        <w:rPr>
          <w:i/>
          <w:iCs/>
        </w:rPr>
      </w:pPr>
      <w:r w:rsidRPr="005017A5">
        <w:rPr>
          <w:i/>
          <w:iCs/>
        </w:rPr>
        <w:t xml:space="preserve">Amend existing state vaccine exemption laws </w:t>
      </w:r>
      <w:r>
        <w:rPr>
          <w:i/>
          <w:iCs/>
        </w:rPr>
        <w:t xml:space="preserve">for school and child care </w:t>
      </w:r>
      <w:r w:rsidRPr="005017A5">
        <w:rPr>
          <w:i/>
          <w:iCs/>
        </w:rPr>
        <w:t>to</w:t>
      </w:r>
      <w:r>
        <w:rPr>
          <w:i/>
          <w:iCs/>
        </w:rPr>
        <w:t xml:space="preserve"> add conscientious and religious exemptions where missing and </w:t>
      </w:r>
      <w:r w:rsidRPr="005017A5">
        <w:rPr>
          <w:i/>
          <w:iCs/>
        </w:rPr>
        <w:t xml:space="preserve">remove any </w:t>
      </w:r>
      <w:r>
        <w:rPr>
          <w:i/>
          <w:iCs/>
        </w:rPr>
        <w:t xml:space="preserve">existing </w:t>
      </w:r>
      <w:r w:rsidRPr="005017A5">
        <w:rPr>
          <w:i/>
          <w:iCs/>
        </w:rPr>
        <w:t>exclusions of the exemptions during a time of emergency or epidemic</w:t>
      </w:r>
      <w:r>
        <w:rPr>
          <w:i/>
          <w:iCs/>
        </w:rPr>
        <w:t xml:space="preserve"> declared by the governor, health commissioner, or other state or local health officers. </w:t>
      </w:r>
    </w:p>
    <w:p w14:paraId="625A8E26" w14:textId="77777777" w:rsidR="00A05EDE" w:rsidRDefault="00A05EDE" w:rsidP="00A05EDE">
      <w:pPr>
        <w:ind w:firstLine="720"/>
        <w:rPr>
          <w:i/>
          <w:iCs/>
        </w:rPr>
      </w:pPr>
      <w:r>
        <w:rPr>
          <w:i/>
          <w:iCs/>
        </w:rPr>
        <w:t>or</w:t>
      </w:r>
    </w:p>
    <w:p w14:paraId="0DC3230D" w14:textId="470C2C22" w:rsidR="00A05EDE" w:rsidRDefault="00A05EDE" w:rsidP="00A05EDE">
      <w:pPr>
        <w:ind w:left="720"/>
        <w:rPr>
          <w:b/>
          <w:bCs/>
        </w:rPr>
      </w:pPr>
      <w:r>
        <w:rPr>
          <w:i/>
          <w:iCs/>
        </w:rPr>
        <w:t>Remove childhood vaccine mandates statewide, for schools, and for child care.</w:t>
      </w:r>
    </w:p>
    <w:p w14:paraId="7BB8F5FB" w14:textId="77777777" w:rsidR="00A05EDE" w:rsidRDefault="00A05EDE" w:rsidP="00A05EDE">
      <w:pPr>
        <w:rPr>
          <w:b/>
          <w:bCs/>
        </w:rPr>
      </w:pPr>
      <w:r>
        <w:rPr>
          <w:b/>
          <w:bCs/>
        </w:rPr>
        <w:t xml:space="preserve">No Vaccine Mandates by </w:t>
      </w:r>
      <w:r w:rsidRPr="005017A5">
        <w:rPr>
          <w:b/>
          <w:bCs/>
        </w:rPr>
        <w:t>Emergency Powers</w:t>
      </w:r>
      <w:r>
        <w:rPr>
          <w:b/>
          <w:bCs/>
        </w:rPr>
        <w:t xml:space="preserve"> or Agency Rule, Amend Government Code</w:t>
      </w:r>
    </w:p>
    <w:p w14:paraId="01C186A3" w14:textId="77777777" w:rsidR="00A05EDE" w:rsidRDefault="00A05EDE" w:rsidP="00A05EDE">
      <w:pPr>
        <w:ind w:left="720"/>
        <w:rPr>
          <w:i/>
          <w:iCs/>
        </w:rPr>
      </w:pPr>
      <w:r>
        <w:rPr>
          <w:i/>
          <w:iCs/>
        </w:rPr>
        <w:t>Add a prohibition of a vaccine mandate by executive order of the governor, health commissioner, board of health, or any other authority.</w:t>
      </w:r>
    </w:p>
    <w:p w14:paraId="7856D6C8" w14:textId="7811B66B" w:rsidR="00A05EDE" w:rsidRDefault="00A05EDE" w:rsidP="00A05EDE">
      <w:pPr>
        <w:ind w:left="720"/>
        <w:rPr>
          <w:i/>
          <w:iCs/>
        </w:rPr>
      </w:pPr>
      <w:r>
        <w:rPr>
          <w:i/>
          <w:iCs/>
        </w:rPr>
        <w:t xml:space="preserve">Prohibit a vaccine mandate by agency rule. </w:t>
      </w:r>
    </w:p>
    <w:p w14:paraId="367AA002" w14:textId="77777777" w:rsidR="00A05EDE" w:rsidRDefault="00A05EDE" w:rsidP="00A05EDE">
      <w:pPr>
        <w:ind w:left="720"/>
        <w:rPr>
          <w:i/>
          <w:iCs/>
        </w:rPr>
      </w:pPr>
      <w:r>
        <w:rPr>
          <w:i/>
          <w:iCs/>
        </w:rPr>
        <w:t>Prohibit any discrimination, civil or criminal penalties for refusing a vaccine.</w:t>
      </w:r>
    </w:p>
    <w:p w14:paraId="7B294664" w14:textId="77777777" w:rsidR="00A05EDE" w:rsidRDefault="00A05EDE" w:rsidP="00A05EDE">
      <w:pPr>
        <w:rPr>
          <w:b/>
          <w:bCs/>
        </w:rPr>
      </w:pPr>
      <w:r>
        <w:rPr>
          <w:b/>
          <w:bCs/>
        </w:rPr>
        <w:t>Prohibit Discrimination and Right of Access Restrictions Based on Vaccine Status or Proof of Immunity, Amend State Civil Rights Code</w:t>
      </w:r>
    </w:p>
    <w:p w14:paraId="797E5985" w14:textId="77777777" w:rsidR="00A05EDE" w:rsidRPr="00867846" w:rsidRDefault="00A05EDE" w:rsidP="00A05EDE">
      <w:r w:rsidRPr="00867846">
        <w:t>Discrimination Prohibited</w:t>
      </w:r>
    </w:p>
    <w:p w14:paraId="7F3D326E" w14:textId="77777777" w:rsidR="00A05EDE" w:rsidRPr="00867846" w:rsidRDefault="00A05EDE" w:rsidP="00A05EDE">
      <w:r w:rsidRPr="00867846">
        <w:t xml:space="preserve">No person shall be discriminated against on the basis of </w:t>
      </w:r>
      <w:r>
        <w:t xml:space="preserve">their </w:t>
      </w:r>
      <w:r w:rsidRPr="00867846">
        <w:t xml:space="preserve">vaccination </w:t>
      </w:r>
      <w:r>
        <w:t xml:space="preserve">or immunity </w:t>
      </w:r>
      <w:r w:rsidRPr="00867846">
        <w:t>status by any public accommodation by</w:t>
      </w:r>
      <w:r>
        <w:t xml:space="preserve">: </w:t>
      </w:r>
    </w:p>
    <w:p w14:paraId="69C4B48C" w14:textId="77777777" w:rsidR="00A05EDE" w:rsidRPr="00867846" w:rsidRDefault="00A05EDE" w:rsidP="00A05EDE">
      <w:pPr>
        <w:pStyle w:val="ListParagraph"/>
        <w:numPr>
          <w:ilvl w:val="0"/>
          <w:numId w:val="11"/>
        </w:numPr>
      </w:pPr>
      <w:r>
        <w:t>p</w:t>
      </w:r>
      <w:r w:rsidRPr="00867846">
        <w:t>roviding any disposition, service, financial aid, or benefit to an individual which is different, or is provided in a different manner, from that provided to other members of the general public</w:t>
      </w:r>
      <w:r>
        <w:t>;</w:t>
      </w:r>
    </w:p>
    <w:p w14:paraId="3A4F522D" w14:textId="77777777" w:rsidR="00A05EDE" w:rsidRPr="00867846" w:rsidRDefault="00A05EDE" w:rsidP="00A05EDE">
      <w:pPr>
        <w:pStyle w:val="ListParagraph"/>
        <w:numPr>
          <w:ilvl w:val="0"/>
          <w:numId w:val="11"/>
        </w:numPr>
      </w:pPr>
      <w:r>
        <w:t>s</w:t>
      </w:r>
      <w:r w:rsidRPr="00867846">
        <w:t>ubjecting any individual to segregation or separate treatment in any matter related to that individual’s receipt of any disposition, service, financial aid, or benefit provided to other members of the general public</w:t>
      </w:r>
      <w:r>
        <w:t>;</w:t>
      </w:r>
    </w:p>
    <w:p w14:paraId="101050BB" w14:textId="77777777" w:rsidR="00A05EDE" w:rsidRPr="00867846" w:rsidRDefault="00A05EDE" w:rsidP="00A05EDE">
      <w:pPr>
        <w:pStyle w:val="ListParagraph"/>
        <w:numPr>
          <w:ilvl w:val="0"/>
          <w:numId w:val="11"/>
        </w:numPr>
      </w:pPr>
      <w:r>
        <w:t>r</w:t>
      </w:r>
      <w:r w:rsidRPr="00867846">
        <w:t>estricting an individual in any way in the enjoyment of any advantage or privilege enjoyed by others receiving any disposition, service, financial aid, or benefit provided to other members of the general public</w:t>
      </w:r>
      <w:r>
        <w:t>;</w:t>
      </w:r>
    </w:p>
    <w:p w14:paraId="5CF5DB3E" w14:textId="77777777" w:rsidR="00A05EDE" w:rsidRPr="00867846" w:rsidRDefault="00A05EDE" w:rsidP="00A05EDE">
      <w:pPr>
        <w:pStyle w:val="ListParagraph"/>
        <w:numPr>
          <w:ilvl w:val="0"/>
          <w:numId w:val="11"/>
        </w:numPr>
      </w:pPr>
      <w:r>
        <w:t>t</w:t>
      </w:r>
      <w:r w:rsidRPr="00867846">
        <w:t>reating an individual differently from others in determining whether that individual satisfies any admission, enrollment, quota, eligibility, membership, or other requirement or condition which individuals must meet in order to be provided any disposition, service, financial aid, function, or benefit available to other members of the general public</w:t>
      </w:r>
      <w:r>
        <w:t>; and</w:t>
      </w:r>
    </w:p>
    <w:p w14:paraId="5EE8B409" w14:textId="77777777" w:rsidR="00A05EDE" w:rsidRPr="00867846" w:rsidRDefault="00A05EDE" w:rsidP="00A05EDE">
      <w:pPr>
        <w:pStyle w:val="ListParagraph"/>
        <w:numPr>
          <w:ilvl w:val="0"/>
          <w:numId w:val="11"/>
        </w:numPr>
      </w:pPr>
      <w:r>
        <w:lastRenderedPageBreak/>
        <w:t>d</w:t>
      </w:r>
      <w:r w:rsidRPr="00867846">
        <w:t>enying an individual an opportunity to participate in a program through the provision of service or otherwise afford that individual an opportunity to do so which is different from that afforded to other members of the general public.</w:t>
      </w:r>
    </w:p>
    <w:p w14:paraId="298C3CD7" w14:textId="29BF512D" w:rsidR="00A05EDE" w:rsidRDefault="00A05EDE" w:rsidP="00A05EDE">
      <w:pPr>
        <w:rPr>
          <w:b/>
          <w:bCs/>
        </w:rPr>
      </w:pPr>
      <w:r>
        <w:rPr>
          <w:b/>
          <w:bCs/>
        </w:rPr>
        <w:t>Prohibit</w:t>
      </w:r>
      <w:r w:rsidR="006312F8">
        <w:rPr>
          <w:b/>
          <w:bCs/>
        </w:rPr>
        <w:t>ing the</w:t>
      </w:r>
      <w:r>
        <w:rPr>
          <w:b/>
          <w:bCs/>
        </w:rPr>
        <w:t xml:space="preserve"> Connection of Vaccination or Immunity Status to a State Issued Driver’s License or State Identification, Amend State Transportation Code</w:t>
      </w:r>
    </w:p>
    <w:p w14:paraId="0406BE68" w14:textId="09FEA8C2" w:rsidR="00A05EDE" w:rsidRDefault="00A05EDE" w:rsidP="00A05EDE">
      <w:r>
        <w:t xml:space="preserve">Any business or any government entity using a state issued identification </w:t>
      </w:r>
      <w:r w:rsidR="00D540EE">
        <w:t xml:space="preserve">or a state driver’s license </w:t>
      </w:r>
      <w:r>
        <w:t xml:space="preserve">for identification purposes, driving or travelling privileges shall not: </w:t>
      </w:r>
    </w:p>
    <w:p w14:paraId="11C3436C" w14:textId="77777777" w:rsidR="00A05EDE" w:rsidRDefault="00A05EDE" w:rsidP="00A05EDE">
      <w:pPr>
        <w:pStyle w:val="ListParagraph"/>
        <w:numPr>
          <w:ilvl w:val="0"/>
          <w:numId w:val="7"/>
        </w:numPr>
      </w:pPr>
      <w:r>
        <w:t xml:space="preserve">connect vaccination status or proof of immunity to driver’s license or state identification records;  </w:t>
      </w:r>
    </w:p>
    <w:p w14:paraId="0AFE3D16" w14:textId="77777777" w:rsidR="00A05EDE" w:rsidRDefault="00A05EDE" w:rsidP="00A05EDE">
      <w:pPr>
        <w:pStyle w:val="ListParagraph"/>
        <w:numPr>
          <w:ilvl w:val="0"/>
          <w:numId w:val="7"/>
        </w:numPr>
      </w:pPr>
      <w:r>
        <w:t>require a vaccination or proof of immunity; or</w:t>
      </w:r>
    </w:p>
    <w:p w14:paraId="567A26F8" w14:textId="77777777" w:rsidR="00A05EDE" w:rsidRDefault="00A05EDE" w:rsidP="00A05EDE">
      <w:pPr>
        <w:pStyle w:val="ListParagraph"/>
        <w:numPr>
          <w:ilvl w:val="0"/>
          <w:numId w:val="7"/>
        </w:numPr>
      </w:pPr>
      <w:r>
        <w:t>discriminate, deny services or access, or otherwise penalize anyone for not receiving a vaccination or providing proof of immunity.</w:t>
      </w:r>
    </w:p>
    <w:p w14:paraId="3E891698" w14:textId="77777777" w:rsidR="00A05EDE" w:rsidRDefault="00A05EDE" w:rsidP="00A05EDE">
      <w:pPr>
        <w:rPr>
          <w:b/>
          <w:bCs/>
        </w:rPr>
      </w:pPr>
      <w:r>
        <w:rPr>
          <w:b/>
          <w:bCs/>
        </w:rPr>
        <w:t>Prohibit Forced Inclusion or Assumed Consent Vaccine Tracking, Amend Health Code</w:t>
      </w:r>
    </w:p>
    <w:p w14:paraId="2C34A979" w14:textId="77777777" w:rsidR="00A05EDE" w:rsidRDefault="00A05EDE" w:rsidP="00A05EDE">
      <w:pPr>
        <w:rPr>
          <w:i/>
          <w:iCs/>
        </w:rPr>
      </w:pPr>
      <w:r>
        <w:rPr>
          <w:i/>
          <w:iCs/>
        </w:rPr>
        <w:t>Amend state vaccine tracking system legislation to require:</w:t>
      </w:r>
    </w:p>
    <w:p w14:paraId="7B566224" w14:textId="77777777" w:rsidR="00A05EDE" w:rsidRDefault="00A05EDE" w:rsidP="00A05EDE">
      <w:pPr>
        <w:pStyle w:val="ListParagraph"/>
        <w:numPr>
          <w:ilvl w:val="0"/>
          <w:numId w:val="9"/>
        </w:numPr>
        <w:rPr>
          <w:i/>
          <w:iCs/>
        </w:rPr>
      </w:pPr>
      <w:r>
        <w:rPr>
          <w:i/>
          <w:iCs/>
        </w:rPr>
        <w:t>written opt-in informed consent for participation in a vaccine tracking system;</w:t>
      </w:r>
    </w:p>
    <w:p w14:paraId="3C000174" w14:textId="77777777" w:rsidR="00A05EDE" w:rsidRDefault="00A05EDE" w:rsidP="00A05EDE">
      <w:pPr>
        <w:pStyle w:val="ListParagraph"/>
        <w:numPr>
          <w:ilvl w:val="0"/>
          <w:numId w:val="9"/>
        </w:numPr>
        <w:rPr>
          <w:i/>
          <w:iCs/>
        </w:rPr>
      </w:pPr>
      <w:r>
        <w:rPr>
          <w:i/>
          <w:iCs/>
        </w:rPr>
        <w:t xml:space="preserve">written opt-in informed consent to vaccine providers and health plans in order to share vaccination status or vaccination refusal to a vaccine tracking system; </w:t>
      </w:r>
    </w:p>
    <w:p w14:paraId="67449B13" w14:textId="77777777" w:rsidR="00A05EDE" w:rsidRDefault="00A05EDE" w:rsidP="00A05EDE">
      <w:pPr>
        <w:pStyle w:val="ListParagraph"/>
        <w:numPr>
          <w:ilvl w:val="0"/>
          <w:numId w:val="9"/>
        </w:numPr>
        <w:rPr>
          <w:i/>
          <w:iCs/>
        </w:rPr>
      </w:pPr>
      <w:r>
        <w:rPr>
          <w:i/>
          <w:iCs/>
        </w:rPr>
        <w:t>and a provision for an individual or a parent or guardian in the case of a minor child to remove previously granted consent which would trigger the deletion of all vaccination records from the registry and other agency files.</w:t>
      </w:r>
    </w:p>
    <w:p w14:paraId="45F80815" w14:textId="734F2DC1" w:rsidR="009378D7" w:rsidRDefault="007958B8" w:rsidP="009378D7">
      <w:pPr>
        <w:rPr>
          <w:b/>
          <w:bCs/>
        </w:rPr>
      </w:pPr>
      <w:r>
        <w:rPr>
          <w:b/>
          <w:bCs/>
        </w:rPr>
        <w:t>Health Care</w:t>
      </w:r>
      <w:r w:rsidR="009378D7" w:rsidRPr="006C0A3B">
        <w:rPr>
          <w:b/>
          <w:bCs/>
        </w:rPr>
        <w:t xml:space="preserve">: Prevent Vaccine Mandates </w:t>
      </w:r>
      <w:r>
        <w:rPr>
          <w:b/>
          <w:bCs/>
        </w:rPr>
        <w:t xml:space="preserve">by Health Care Providers, Health Care Facilities, and </w:t>
      </w:r>
      <w:r w:rsidR="00893DFA">
        <w:rPr>
          <w:b/>
          <w:bCs/>
        </w:rPr>
        <w:t>Long-Term</w:t>
      </w:r>
      <w:r>
        <w:rPr>
          <w:b/>
          <w:bCs/>
        </w:rPr>
        <w:t xml:space="preserve"> Care and Assisted Living Facilities</w:t>
      </w:r>
      <w:r w:rsidR="00FD30B1">
        <w:rPr>
          <w:b/>
          <w:bCs/>
        </w:rPr>
        <w:t>, Amend State Medical Practice Act</w:t>
      </w:r>
    </w:p>
    <w:p w14:paraId="1A07B709" w14:textId="6ACDC017" w:rsidR="00893DFA" w:rsidRPr="00893DFA" w:rsidRDefault="00893DFA" w:rsidP="00893DFA">
      <w:r>
        <w:t>Discrimination by a Health Care Provider or Health Care Facility Based on Vaccination Status Prohibited</w:t>
      </w:r>
    </w:p>
    <w:p w14:paraId="30C255B9" w14:textId="3A2E5791" w:rsidR="00893DFA" w:rsidRDefault="00893DFA" w:rsidP="00E65D52">
      <w:pPr>
        <w:pStyle w:val="ListParagraph"/>
        <w:numPr>
          <w:ilvl w:val="0"/>
          <w:numId w:val="2"/>
        </w:numPr>
      </w:pPr>
      <w:r w:rsidRPr="00893DFA">
        <w:t xml:space="preserve">A health care provider </w:t>
      </w:r>
      <w:r>
        <w:t xml:space="preserve">or health care facility shall </w:t>
      </w:r>
      <w:r w:rsidRPr="00893DFA">
        <w:t xml:space="preserve">not refuse to provide </w:t>
      </w:r>
      <w:r w:rsidR="00D540EE">
        <w:t xml:space="preserve">any </w:t>
      </w:r>
      <w:r w:rsidRPr="00893DFA">
        <w:t>health care services to a patient because a patient has or has not received</w:t>
      </w:r>
      <w:r w:rsidR="00D540EE">
        <w:t xml:space="preserve"> a</w:t>
      </w:r>
      <w:r w:rsidRPr="00893DFA">
        <w:t xml:space="preserve"> </w:t>
      </w:r>
      <w:r>
        <w:t>vaccination</w:t>
      </w:r>
      <w:r w:rsidR="00431A42">
        <w:t>.</w:t>
      </w:r>
    </w:p>
    <w:p w14:paraId="2E2B7608" w14:textId="380CAF59" w:rsidR="00865941" w:rsidRDefault="00E65D52" w:rsidP="00865941">
      <w:pPr>
        <w:pStyle w:val="ListParagraph"/>
        <w:numPr>
          <w:ilvl w:val="0"/>
          <w:numId w:val="2"/>
        </w:numPr>
      </w:pPr>
      <w:r>
        <w:t>A</w:t>
      </w:r>
      <w:r w:rsidRPr="00E65D52">
        <w:t xml:space="preserve"> health care facility providing clinical experience to satisfy a student’s degree requirements shall not discriminate against a student or prohibit</w:t>
      </w:r>
      <w:r w:rsidR="005F55F4">
        <w:t xml:space="preserve"> </w:t>
      </w:r>
      <w:r w:rsidRPr="00E65D52">
        <w:t xml:space="preserve">admission, enrollment, or employment as a student, intern, or resident because of the student’s </w:t>
      </w:r>
      <w:r>
        <w:t>vaccination</w:t>
      </w:r>
      <w:r w:rsidRPr="00E65D52">
        <w:t xml:space="preserve"> status.</w:t>
      </w:r>
    </w:p>
    <w:p w14:paraId="6D9F3A97" w14:textId="4F7DF4F7" w:rsidR="00893DFA" w:rsidRDefault="00893DFA" w:rsidP="00865941">
      <w:pPr>
        <w:pStyle w:val="ListParagraph"/>
        <w:numPr>
          <w:ilvl w:val="0"/>
          <w:numId w:val="2"/>
        </w:numPr>
      </w:pPr>
      <w:r w:rsidRPr="00893DFA">
        <w:t xml:space="preserve">A health care provider </w:t>
      </w:r>
      <w:r>
        <w:t xml:space="preserve">or health care facility </w:t>
      </w:r>
      <w:r w:rsidRPr="00893DFA">
        <w:t>that violates this section is not eligible to receive money from the state for services provided to patients</w:t>
      </w:r>
      <w:r>
        <w:t>.</w:t>
      </w:r>
      <w:r w:rsidRPr="00551E22">
        <w:t xml:space="preserve"> </w:t>
      </w:r>
    </w:p>
    <w:p w14:paraId="4DBE2A35" w14:textId="3DDF0EA3" w:rsidR="00893DFA" w:rsidRPr="00893DFA" w:rsidRDefault="00893DFA" w:rsidP="00893DFA">
      <w:r>
        <w:t>Discrimination by Long-Term Care and Assisted Living Facilities Based on Vaccination Status Prohibited</w:t>
      </w:r>
    </w:p>
    <w:p w14:paraId="75A6E824" w14:textId="06C6DA00" w:rsidR="00893DFA" w:rsidRPr="00893DFA" w:rsidRDefault="00893DFA" w:rsidP="00CF54D6">
      <w:pPr>
        <w:pStyle w:val="ListParagraph"/>
        <w:numPr>
          <w:ilvl w:val="0"/>
          <w:numId w:val="16"/>
        </w:numPr>
      </w:pPr>
      <w:r w:rsidRPr="00893DFA">
        <w:lastRenderedPageBreak/>
        <w:t xml:space="preserve">A </w:t>
      </w:r>
      <w:r>
        <w:t xml:space="preserve">long-term care or assisted living facility shall </w:t>
      </w:r>
      <w:r w:rsidRPr="00893DFA">
        <w:t xml:space="preserve">not refuse to provide services to a </w:t>
      </w:r>
      <w:r>
        <w:t>resident</w:t>
      </w:r>
      <w:r w:rsidRPr="00893DFA">
        <w:t xml:space="preserve"> because a patient has or has not received </w:t>
      </w:r>
      <w:r w:rsidR="00431A42">
        <w:t>a vaccine.</w:t>
      </w:r>
    </w:p>
    <w:p w14:paraId="1F24989A" w14:textId="02459AA7" w:rsidR="00893DFA" w:rsidRDefault="00893DFA" w:rsidP="00CF54D6">
      <w:pPr>
        <w:pStyle w:val="ListParagraph"/>
        <w:numPr>
          <w:ilvl w:val="0"/>
          <w:numId w:val="16"/>
        </w:numPr>
      </w:pPr>
      <w:r w:rsidRPr="00893DFA">
        <w:t xml:space="preserve">A </w:t>
      </w:r>
      <w:r w:rsidR="00E65D52">
        <w:t>long-term care or assisted living facility</w:t>
      </w:r>
      <w:r>
        <w:t xml:space="preserve"> </w:t>
      </w:r>
      <w:r w:rsidRPr="00893DFA">
        <w:t>that violates this section is not eligible to receive money from the state for services provided to patients</w:t>
      </w:r>
      <w:r>
        <w:t>.</w:t>
      </w:r>
      <w:r w:rsidRPr="00551E22">
        <w:t xml:space="preserve"> </w:t>
      </w:r>
    </w:p>
    <w:p w14:paraId="5763C262" w14:textId="77777777" w:rsidR="00B73622" w:rsidRPr="000F5AA0" w:rsidRDefault="00B73622" w:rsidP="00B73622">
      <w:r>
        <w:t>Cease and Desist Order, Sanctions, or Administrative Penalty</w:t>
      </w:r>
    </w:p>
    <w:p w14:paraId="29250850" w14:textId="77777777" w:rsidR="00B73622" w:rsidRPr="00737A9F" w:rsidRDefault="00B73622" w:rsidP="00B73622">
      <w:pPr>
        <w:ind w:left="720"/>
        <w:rPr>
          <w:i/>
          <w:iCs/>
        </w:rPr>
      </w:pPr>
      <w:r>
        <w:rPr>
          <w:i/>
          <w:iCs/>
        </w:rPr>
        <w:t>Utilize existing sanctions or administrative penalties for violations already codified in state law for other violations.</w:t>
      </w:r>
    </w:p>
    <w:p w14:paraId="1D79F4DE" w14:textId="13D76E26" w:rsidR="00DB4702" w:rsidRDefault="00DB4702" w:rsidP="00DB4702">
      <w:pPr>
        <w:rPr>
          <w:b/>
          <w:bCs/>
        </w:rPr>
      </w:pPr>
      <w:r w:rsidRPr="00DB4702">
        <w:rPr>
          <w:b/>
          <w:bCs/>
        </w:rPr>
        <w:t xml:space="preserve">Prevailing Clause Should Be Added to Each </w:t>
      </w:r>
      <w:r w:rsidR="00B73622">
        <w:rPr>
          <w:b/>
          <w:bCs/>
        </w:rPr>
        <w:t xml:space="preserve">Section of Each </w:t>
      </w:r>
      <w:r w:rsidRPr="00DB4702">
        <w:rPr>
          <w:b/>
          <w:bCs/>
        </w:rPr>
        <w:t>Bill</w:t>
      </w:r>
    </w:p>
    <w:p w14:paraId="3544F25F" w14:textId="48C74A07" w:rsidR="00DB4702" w:rsidRPr="009772D3" w:rsidRDefault="00A21A55" w:rsidP="00DB4702">
      <w:pPr>
        <w:rPr>
          <w:rFonts w:cs="Arial"/>
          <w:szCs w:val="24"/>
        </w:rPr>
      </w:pPr>
      <w:r w:rsidRPr="00B73622">
        <w:rPr>
          <w:rFonts w:cs="Arial"/>
          <w:color w:val="494949"/>
          <w:szCs w:val="24"/>
          <w:shd w:val="clear" w:color="auto" w:fill="FFFFFF"/>
        </w:rPr>
        <w:t>The provisions of </w:t>
      </w:r>
      <w:r w:rsidRPr="00B73622">
        <w:rPr>
          <w:rFonts w:cs="Arial"/>
          <w:color w:val="494949"/>
          <w:szCs w:val="24"/>
          <w:bdr w:val="none" w:sz="0" w:space="0" w:color="auto" w:frame="1"/>
          <w:shd w:val="clear" w:color="auto" w:fill="FFFFFF"/>
        </w:rPr>
        <w:t>this</w:t>
      </w:r>
      <w:r w:rsidRPr="00B73622">
        <w:rPr>
          <w:rFonts w:cs="Arial"/>
          <w:color w:val="494949"/>
          <w:szCs w:val="24"/>
          <w:shd w:val="clear" w:color="auto" w:fill="FFFFFF"/>
        </w:rPr>
        <w:t> </w:t>
      </w:r>
      <w:r w:rsidRPr="00B73622">
        <w:rPr>
          <w:rFonts w:cs="Arial"/>
          <w:color w:val="494949"/>
          <w:szCs w:val="24"/>
          <w:bdr w:val="none" w:sz="0" w:space="0" w:color="auto" w:frame="1"/>
          <w:shd w:val="clear" w:color="auto" w:fill="FFFFFF"/>
        </w:rPr>
        <w:t>section</w:t>
      </w:r>
      <w:r w:rsidRPr="00B73622">
        <w:rPr>
          <w:rFonts w:cs="Arial"/>
          <w:color w:val="494949"/>
          <w:szCs w:val="24"/>
          <w:shd w:val="clear" w:color="auto" w:fill="FFFFFF"/>
        </w:rPr>
        <w:t> </w:t>
      </w:r>
      <w:r w:rsidRPr="00B73622">
        <w:rPr>
          <w:rFonts w:cs="Arial"/>
          <w:color w:val="494949"/>
          <w:szCs w:val="24"/>
          <w:bdr w:val="none" w:sz="0" w:space="0" w:color="auto" w:frame="1"/>
          <w:shd w:val="clear" w:color="auto" w:fill="FFFFFF"/>
        </w:rPr>
        <w:t>shall</w:t>
      </w:r>
      <w:r w:rsidRPr="00B73622">
        <w:rPr>
          <w:rFonts w:cs="Arial"/>
          <w:color w:val="494949"/>
          <w:szCs w:val="24"/>
          <w:shd w:val="clear" w:color="auto" w:fill="FFFFFF"/>
        </w:rPr>
        <w:t> </w:t>
      </w:r>
      <w:r w:rsidRPr="00B73622">
        <w:rPr>
          <w:rFonts w:cs="Arial"/>
          <w:color w:val="494949"/>
          <w:szCs w:val="24"/>
          <w:bdr w:val="none" w:sz="0" w:space="0" w:color="auto" w:frame="1"/>
          <w:shd w:val="clear" w:color="auto" w:fill="FFFFFF"/>
        </w:rPr>
        <w:t>prevail</w:t>
      </w:r>
      <w:r w:rsidRPr="00B73622">
        <w:rPr>
          <w:rFonts w:cs="Arial"/>
          <w:color w:val="494949"/>
          <w:szCs w:val="24"/>
          <w:shd w:val="clear" w:color="auto" w:fill="FFFFFF"/>
        </w:rPr>
        <w:t> over any conflicting provisions in a general law, present or future, to the </w:t>
      </w:r>
      <w:r w:rsidRPr="00B73622">
        <w:rPr>
          <w:rFonts w:cs="Arial"/>
          <w:color w:val="494949"/>
          <w:szCs w:val="24"/>
          <w:bdr w:val="none" w:sz="0" w:space="0" w:color="auto" w:frame="1"/>
          <w:shd w:val="clear" w:color="auto" w:fill="FFFFFF"/>
        </w:rPr>
        <w:t>extent</w:t>
      </w:r>
      <w:r w:rsidRPr="00B73622">
        <w:rPr>
          <w:rFonts w:cs="Arial"/>
          <w:color w:val="494949"/>
          <w:szCs w:val="24"/>
          <w:shd w:val="clear" w:color="auto" w:fill="FFFFFF"/>
        </w:rPr>
        <w:t> of </w:t>
      </w:r>
      <w:r w:rsidRPr="00B73622">
        <w:rPr>
          <w:rFonts w:cs="Arial"/>
          <w:color w:val="494949"/>
          <w:szCs w:val="24"/>
          <w:bdr w:val="none" w:sz="0" w:space="0" w:color="auto" w:frame="1"/>
          <w:shd w:val="clear" w:color="auto" w:fill="FFFFFF"/>
        </w:rPr>
        <w:t>the</w:t>
      </w:r>
      <w:r w:rsidRPr="00B73622">
        <w:rPr>
          <w:rFonts w:cs="Arial"/>
          <w:color w:val="494949"/>
          <w:szCs w:val="24"/>
          <w:shd w:val="clear" w:color="auto" w:fill="FFFFFF"/>
        </w:rPr>
        <w:t> </w:t>
      </w:r>
      <w:r w:rsidRPr="00B73622">
        <w:rPr>
          <w:rFonts w:cs="Arial"/>
          <w:color w:val="494949"/>
          <w:szCs w:val="24"/>
          <w:bdr w:val="none" w:sz="0" w:space="0" w:color="auto" w:frame="1"/>
          <w:shd w:val="clear" w:color="auto" w:fill="FFFFFF"/>
        </w:rPr>
        <w:t>conflict</w:t>
      </w:r>
      <w:r w:rsidRPr="00B73622">
        <w:rPr>
          <w:rFonts w:cs="Arial"/>
          <w:color w:val="494949"/>
          <w:szCs w:val="24"/>
          <w:shd w:val="clear" w:color="auto" w:fill="FFFFFF"/>
        </w:rPr>
        <w:t>; but if any such general law contains a specific exemption from </w:t>
      </w:r>
      <w:r w:rsidRPr="00B73622">
        <w:rPr>
          <w:rFonts w:cs="Arial"/>
          <w:color w:val="494949"/>
          <w:szCs w:val="24"/>
          <w:bdr w:val="none" w:sz="0" w:space="0" w:color="auto" w:frame="1"/>
          <w:shd w:val="clear" w:color="auto" w:fill="FFFFFF"/>
        </w:rPr>
        <w:t>this</w:t>
      </w:r>
      <w:r w:rsidRPr="00B73622">
        <w:rPr>
          <w:rFonts w:cs="Arial"/>
          <w:color w:val="494949"/>
          <w:szCs w:val="24"/>
          <w:shd w:val="clear" w:color="auto" w:fill="FFFFFF"/>
        </w:rPr>
        <w:t> </w:t>
      </w:r>
      <w:r w:rsidRPr="00B73622">
        <w:rPr>
          <w:rFonts w:cs="Arial"/>
          <w:color w:val="494949"/>
          <w:szCs w:val="24"/>
          <w:bdr w:val="none" w:sz="0" w:space="0" w:color="auto" w:frame="1"/>
          <w:shd w:val="clear" w:color="auto" w:fill="FFFFFF"/>
        </w:rPr>
        <w:t>section</w:t>
      </w:r>
      <w:r w:rsidRPr="00B73622">
        <w:rPr>
          <w:rFonts w:cs="Arial"/>
          <w:color w:val="494949"/>
          <w:szCs w:val="24"/>
          <w:shd w:val="clear" w:color="auto" w:fill="FFFFFF"/>
        </w:rPr>
        <w:t>, including a specific reference to </w:t>
      </w:r>
      <w:r w:rsidRPr="00B73622">
        <w:rPr>
          <w:rFonts w:cs="Arial"/>
          <w:color w:val="494949"/>
          <w:szCs w:val="24"/>
          <w:bdr w:val="none" w:sz="0" w:space="0" w:color="auto" w:frame="1"/>
          <w:shd w:val="clear" w:color="auto" w:fill="FFFFFF"/>
        </w:rPr>
        <w:t>this</w:t>
      </w:r>
      <w:r w:rsidRPr="00B73622">
        <w:rPr>
          <w:rFonts w:cs="Arial"/>
          <w:color w:val="494949"/>
          <w:szCs w:val="24"/>
          <w:shd w:val="clear" w:color="auto" w:fill="FFFFFF"/>
        </w:rPr>
        <w:t> </w:t>
      </w:r>
      <w:r w:rsidRPr="00B73622">
        <w:rPr>
          <w:rFonts w:cs="Arial"/>
          <w:color w:val="494949"/>
          <w:szCs w:val="24"/>
          <w:bdr w:val="none" w:sz="0" w:space="0" w:color="auto" w:frame="1"/>
          <w:shd w:val="clear" w:color="auto" w:fill="FFFFFF"/>
        </w:rPr>
        <w:t>section</w:t>
      </w:r>
      <w:r w:rsidRPr="00B73622">
        <w:rPr>
          <w:rFonts w:cs="Arial"/>
          <w:color w:val="494949"/>
          <w:szCs w:val="24"/>
          <w:shd w:val="clear" w:color="auto" w:fill="FFFFFF"/>
        </w:rPr>
        <w:t>, such general law shall </w:t>
      </w:r>
      <w:r w:rsidRPr="00B73622">
        <w:rPr>
          <w:rFonts w:cs="Arial"/>
          <w:color w:val="494949"/>
          <w:szCs w:val="24"/>
          <w:bdr w:val="none" w:sz="0" w:space="0" w:color="auto" w:frame="1"/>
          <w:shd w:val="clear" w:color="auto" w:fill="FFFFFF"/>
        </w:rPr>
        <w:t>prevail</w:t>
      </w:r>
      <w:r w:rsidRPr="00B73622">
        <w:rPr>
          <w:rFonts w:cs="Arial"/>
          <w:color w:val="494949"/>
          <w:szCs w:val="24"/>
          <w:shd w:val="clear" w:color="auto" w:fill="FFFFFF"/>
        </w:rPr>
        <w:t>, but only to the </w:t>
      </w:r>
      <w:r w:rsidRPr="00B73622">
        <w:rPr>
          <w:rFonts w:cs="Arial"/>
          <w:color w:val="494949"/>
          <w:szCs w:val="24"/>
          <w:bdr w:val="none" w:sz="0" w:space="0" w:color="auto" w:frame="1"/>
          <w:shd w:val="clear" w:color="auto" w:fill="FFFFFF"/>
        </w:rPr>
        <w:t>extent</w:t>
      </w:r>
      <w:r w:rsidRPr="00B73622">
        <w:rPr>
          <w:rFonts w:cs="Arial"/>
          <w:color w:val="494949"/>
          <w:szCs w:val="24"/>
          <w:shd w:val="clear" w:color="auto" w:fill="FFFFFF"/>
        </w:rPr>
        <w:t> of the exemption.</w:t>
      </w:r>
    </w:p>
    <w:sectPr w:rsidR="00DB4702" w:rsidRPr="009772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A371E" w14:textId="77777777" w:rsidR="00746E20" w:rsidRDefault="00746E20" w:rsidP="00351C20">
      <w:pPr>
        <w:spacing w:after="0" w:line="240" w:lineRule="auto"/>
      </w:pPr>
      <w:r>
        <w:separator/>
      </w:r>
    </w:p>
  </w:endnote>
  <w:endnote w:type="continuationSeparator" w:id="0">
    <w:p w14:paraId="28CEA661" w14:textId="77777777" w:rsidR="00746E20" w:rsidRDefault="00746E20" w:rsidP="0035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57AAE" w14:textId="77777777" w:rsidR="00746E20" w:rsidRDefault="00746E20" w:rsidP="00351C20">
      <w:pPr>
        <w:spacing w:after="0" w:line="240" w:lineRule="auto"/>
      </w:pPr>
      <w:r>
        <w:separator/>
      </w:r>
    </w:p>
  </w:footnote>
  <w:footnote w:type="continuationSeparator" w:id="0">
    <w:p w14:paraId="07AC40BF" w14:textId="77777777" w:rsidR="00746E20" w:rsidRDefault="00746E20" w:rsidP="0035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DA3"/>
    <w:multiLevelType w:val="hybridMultilevel"/>
    <w:tmpl w:val="EFCCF958"/>
    <w:lvl w:ilvl="0" w:tplc="B15EE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54312"/>
    <w:multiLevelType w:val="hybridMultilevel"/>
    <w:tmpl w:val="7250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71367"/>
    <w:multiLevelType w:val="hybridMultilevel"/>
    <w:tmpl w:val="065EC546"/>
    <w:lvl w:ilvl="0" w:tplc="B15EE1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FE1DD0"/>
    <w:multiLevelType w:val="hybridMultilevel"/>
    <w:tmpl w:val="D200F648"/>
    <w:lvl w:ilvl="0" w:tplc="B15EE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B7140F"/>
    <w:multiLevelType w:val="hybridMultilevel"/>
    <w:tmpl w:val="150E1BE6"/>
    <w:lvl w:ilvl="0" w:tplc="B15EE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12E65"/>
    <w:multiLevelType w:val="hybridMultilevel"/>
    <w:tmpl w:val="2B887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2A2CD4"/>
    <w:multiLevelType w:val="hybridMultilevel"/>
    <w:tmpl w:val="D88C0124"/>
    <w:lvl w:ilvl="0" w:tplc="28EA0DD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35591"/>
    <w:multiLevelType w:val="hybridMultilevel"/>
    <w:tmpl w:val="46A21142"/>
    <w:lvl w:ilvl="0" w:tplc="44C47DEC">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2F40A5"/>
    <w:multiLevelType w:val="hybridMultilevel"/>
    <w:tmpl w:val="690C7622"/>
    <w:lvl w:ilvl="0" w:tplc="B15EE136">
      <w:start w:val="1"/>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45B6437"/>
    <w:multiLevelType w:val="hybridMultilevel"/>
    <w:tmpl w:val="C35A02F2"/>
    <w:lvl w:ilvl="0" w:tplc="B15EE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67BD1"/>
    <w:multiLevelType w:val="hybridMultilevel"/>
    <w:tmpl w:val="ECA29CC2"/>
    <w:lvl w:ilvl="0" w:tplc="28EA0D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6F4218"/>
    <w:multiLevelType w:val="hybridMultilevel"/>
    <w:tmpl w:val="9680484A"/>
    <w:lvl w:ilvl="0" w:tplc="B15EE136">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1F6A8B"/>
    <w:multiLevelType w:val="hybridMultilevel"/>
    <w:tmpl w:val="477A6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C10B6"/>
    <w:multiLevelType w:val="hybridMultilevel"/>
    <w:tmpl w:val="82A2ECA2"/>
    <w:lvl w:ilvl="0" w:tplc="B15EE1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AA7CB0"/>
    <w:multiLevelType w:val="hybridMultilevel"/>
    <w:tmpl w:val="C45EDA9C"/>
    <w:lvl w:ilvl="0" w:tplc="B15EE1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B3BA5"/>
    <w:multiLevelType w:val="hybridMultilevel"/>
    <w:tmpl w:val="70AC0F28"/>
    <w:lvl w:ilvl="0" w:tplc="B0DED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91339C"/>
    <w:multiLevelType w:val="hybridMultilevel"/>
    <w:tmpl w:val="41E0B978"/>
    <w:lvl w:ilvl="0" w:tplc="B15EE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2"/>
  </w:num>
  <w:num w:numId="5">
    <w:abstractNumId w:val="10"/>
  </w:num>
  <w:num w:numId="6">
    <w:abstractNumId w:val="6"/>
  </w:num>
  <w:num w:numId="7">
    <w:abstractNumId w:val="8"/>
  </w:num>
  <w:num w:numId="8">
    <w:abstractNumId w:val="14"/>
  </w:num>
  <w:num w:numId="9">
    <w:abstractNumId w:val="12"/>
  </w:num>
  <w:num w:numId="10">
    <w:abstractNumId w:val="1"/>
  </w:num>
  <w:num w:numId="11">
    <w:abstractNumId w:val="16"/>
  </w:num>
  <w:num w:numId="12">
    <w:abstractNumId w:val="9"/>
  </w:num>
  <w:num w:numId="13">
    <w:abstractNumId w:val="4"/>
  </w:num>
  <w:num w:numId="14">
    <w:abstractNumId w:val="13"/>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IjsNIcZRNUfdw7A1efPFoTe8oF2QC+RbCMYjytT/v2JYoG0uiX3/2IG2pWwBfbTJjmub7hYXqaA3z++QjICQBw==" w:salt="WS3vUjoNSPVDSa4m45ED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05"/>
    <w:rsid w:val="000033B9"/>
    <w:rsid w:val="00023EA5"/>
    <w:rsid w:val="00047668"/>
    <w:rsid w:val="000E44E0"/>
    <w:rsid w:val="000F5AA0"/>
    <w:rsid w:val="00127723"/>
    <w:rsid w:val="00134581"/>
    <w:rsid w:val="00137BB8"/>
    <w:rsid w:val="00174E00"/>
    <w:rsid w:val="001B0FD2"/>
    <w:rsid w:val="00237448"/>
    <w:rsid w:val="002474EF"/>
    <w:rsid w:val="00270935"/>
    <w:rsid w:val="0028493F"/>
    <w:rsid w:val="002B557E"/>
    <w:rsid w:val="003009EC"/>
    <w:rsid w:val="00306F7B"/>
    <w:rsid w:val="00351C20"/>
    <w:rsid w:val="00427805"/>
    <w:rsid w:val="00431A42"/>
    <w:rsid w:val="00435683"/>
    <w:rsid w:val="0047011F"/>
    <w:rsid w:val="00475FE6"/>
    <w:rsid w:val="00493705"/>
    <w:rsid w:val="00497BD9"/>
    <w:rsid w:val="004D3A2B"/>
    <w:rsid w:val="004F55D1"/>
    <w:rsid w:val="005017A5"/>
    <w:rsid w:val="00551E22"/>
    <w:rsid w:val="00562407"/>
    <w:rsid w:val="005F55F4"/>
    <w:rsid w:val="00603B41"/>
    <w:rsid w:val="006312F8"/>
    <w:rsid w:val="00660A0E"/>
    <w:rsid w:val="006747F7"/>
    <w:rsid w:val="006A31C6"/>
    <w:rsid w:val="006A5DCB"/>
    <w:rsid w:val="006C0413"/>
    <w:rsid w:val="006C0A3B"/>
    <w:rsid w:val="006C3144"/>
    <w:rsid w:val="006D53DE"/>
    <w:rsid w:val="006E2F03"/>
    <w:rsid w:val="00700F68"/>
    <w:rsid w:val="007131F1"/>
    <w:rsid w:val="00737A9F"/>
    <w:rsid w:val="00737DC0"/>
    <w:rsid w:val="00746E20"/>
    <w:rsid w:val="007819E2"/>
    <w:rsid w:val="007958B8"/>
    <w:rsid w:val="007E58D6"/>
    <w:rsid w:val="00814B06"/>
    <w:rsid w:val="008316E2"/>
    <w:rsid w:val="00843366"/>
    <w:rsid w:val="008472F6"/>
    <w:rsid w:val="00865941"/>
    <w:rsid w:val="00867846"/>
    <w:rsid w:val="00887AB4"/>
    <w:rsid w:val="00893DFA"/>
    <w:rsid w:val="008C31B2"/>
    <w:rsid w:val="008E288D"/>
    <w:rsid w:val="008E5887"/>
    <w:rsid w:val="008F49A4"/>
    <w:rsid w:val="00900028"/>
    <w:rsid w:val="009378D7"/>
    <w:rsid w:val="00957024"/>
    <w:rsid w:val="00966F0E"/>
    <w:rsid w:val="009772D3"/>
    <w:rsid w:val="009E7922"/>
    <w:rsid w:val="009F33A2"/>
    <w:rsid w:val="00A05EDE"/>
    <w:rsid w:val="00A07F92"/>
    <w:rsid w:val="00A21A55"/>
    <w:rsid w:val="00AB742B"/>
    <w:rsid w:val="00AD61B4"/>
    <w:rsid w:val="00AD7E27"/>
    <w:rsid w:val="00AF69E7"/>
    <w:rsid w:val="00B1754F"/>
    <w:rsid w:val="00B438E4"/>
    <w:rsid w:val="00B73622"/>
    <w:rsid w:val="00C11B26"/>
    <w:rsid w:val="00C314B0"/>
    <w:rsid w:val="00C5465B"/>
    <w:rsid w:val="00C77ACC"/>
    <w:rsid w:val="00C97C9D"/>
    <w:rsid w:val="00CF086A"/>
    <w:rsid w:val="00CF54D6"/>
    <w:rsid w:val="00D12B51"/>
    <w:rsid w:val="00D2750F"/>
    <w:rsid w:val="00D540EE"/>
    <w:rsid w:val="00D74B96"/>
    <w:rsid w:val="00DB4702"/>
    <w:rsid w:val="00DC4277"/>
    <w:rsid w:val="00E17C26"/>
    <w:rsid w:val="00E45DA3"/>
    <w:rsid w:val="00E65D52"/>
    <w:rsid w:val="00E86F99"/>
    <w:rsid w:val="00ED202C"/>
    <w:rsid w:val="00F04E88"/>
    <w:rsid w:val="00F60193"/>
    <w:rsid w:val="00FD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0294"/>
  <w15:chartTrackingRefBased/>
  <w15:docId w15:val="{9F69C796-3703-444D-A13A-9B5036CC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DE"/>
    <w:rPr>
      <w:rFonts w:ascii="Arial" w:hAnsi="Arial"/>
      <w:sz w:val="24"/>
    </w:rPr>
  </w:style>
  <w:style w:type="paragraph" w:styleId="Heading1">
    <w:name w:val="heading 1"/>
    <w:basedOn w:val="Normal"/>
    <w:next w:val="Normal"/>
    <w:link w:val="Heading1Char"/>
    <w:uiPriority w:val="9"/>
    <w:qFormat/>
    <w:rsid w:val="00047668"/>
    <w:pPr>
      <w:keepNext/>
      <w:keepLines/>
      <w:spacing w:before="240" w:after="0"/>
      <w:outlineLvl w:val="0"/>
    </w:pPr>
    <w:rPr>
      <w:rFonts w:eastAsiaTheme="majorEastAsia" w:cs="Arial"/>
      <w:color w:val="2F5496" w:themeColor="accent1" w:themeShade="BF"/>
      <w:sz w:val="36"/>
      <w:szCs w:val="36"/>
    </w:rPr>
  </w:style>
  <w:style w:type="paragraph" w:styleId="Heading2">
    <w:name w:val="heading 2"/>
    <w:basedOn w:val="Normal"/>
    <w:next w:val="Normal"/>
    <w:link w:val="Heading2Char"/>
    <w:uiPriority w:val="9"/>
    <w:unhideWhenUsed/>
    <w:qFormat/>
    <w:rsid w:val="00047668"/>
    <w:pPr>
      <w:keepNext/>
      <w:keepLines/>
      <w:spacing w:before="40" w:after="0"/>
      <w:outlineLvl w:val="1"/>
    </w:pPr>
    <w:rPr>
      <w:rFonts w:eastAsiaTheme="majorEastAsia" w:cs="Arial"/>
      <w:color w:val="2F5496" w:themeColor="accent1" w:themeShade="BF"/>
      <w:sz w:val="32"/>
      <w:szCs w:val="32"/>
    </w:rPr>
  </w:style>
  <w:style w:type="paragraph" w:styleId="Heading3">
    <w:name w:val="heading 3"/>
    <w:basedOn w:val="Normal"/>
    <w:next w:val="Normal"/>
    <w:link w:val="Heading3Char"/>
    <w:uiPriority w:val="9"/>
    <w:unhideWhenUsed/>
    <w:qFormat/>
    <w:rsid w:val="00047668"/>
    <w:pPr>
      <w:keepNext/>
      <w:keepLines/>
      <w:spacing w:before="40" w:after="0"/>
      <w:outlineLvl w:val="2"/>
    </w:pPr>
    <w:rPr>
      <w:rFonts w:eastAsiaTheme="majorEastAsia" w:cs="Arial"/>
      <w:color w:val="1F3763" w:themeColor="accent1" w:themeShade="7F"/>
      <w:sz w:val="28"/>
      <w:szCs w:val="28"/>
    </w:rPr>
  </w:style>
  <w:style w:type="paragraph" w:styleId="Heading4">
    <w:name w:val="heading 4"/>
    <w:basedOn w:val="Normal"/>
    <w:next w:val="Normal"/>
    <w:link w:val="Heading4Char"/>
    <w:uiPriority w:val="9"/>
    <w:unhideWhenUsed/>
    <w:qFormat/>
    <w:rsid w:val="00047668"/>
    <w:pPr>
      <w:keepNext/>
      <w:keepLines/>
      <w:spacing w:before="40" w:after="0"/>
      <w:outlineLvl w:val="3"/>
    </w:pPr>
    <w:rPr>
      <w:rFonts w:eastAsiaTheme="majorEastAsia" w:cs="Arial"/>
      <w:i/>
      <w:iCs/>
      <w:color w:val="2F5496" w:themeColor="accent1" w:themeShade="BF"/>
      <w:sz w:val="28"/>
      <w:szCs w:val="28"/>
    </w:rPr>
  </w:style>
  <w:style w:type="paragraph" w:styleId="Heading5">
    <w:name w:val="heading 5"/>
    <w:basedOn w:val="Normal"/>
    <w:next w:val="Normal"/>
    <w:link w:val="Heading5Char"/>
    <w:uiPriority w:val="9"/>
    <w:unhideWhenUsed/>
    <w:qFormat/>
    <w:rsid w:val="00047668"/>
    <w:pPr>
      <w:keepNext/>
      <w:keepLines/>
      <w:spacing w:before="40" w:after="0"/>
      <w:outlineLvl w:val="4"/>
    </w:pPr>
    <w:rPr>
      <w:rFonts w:eastAsiaTheme="majorEastAsia" w:cs="Arial"/>
      <w:color w:val="2F5496" w:themeColor="accent1" w:themeShade="BF"/>
      <w:sz w:val="28"/>
      <w:szCs w:val="28"/>
    </w:rPr>
  </w:style>
  <w:style w:type="paragraph" w:styleId="Heading6">
    <w:name w:val="heading 6"/>
    <w:basedOn w:val="Normal"/>
    <w:next w:val="Normal"/>
    <w:link w:val="Heading6Char"/>
    <w:uiPriority w:val="9"/>
    <w:unhideWhenUsed/>
    <w:qFormat/>
    <w:rsid w:val="00047668"/>
    <w:pPr>
      <w:keepNext/>
      <w:keepLines/>
      <w:spacing w:before="40" w:after="0"/>
      <w:outlineLvl w:val="5"/>
    </w:pPr>
    <w:rPr>
      <w:rFonts w:eastAsiaTheme="majorEastAsia" w:cs="Arial"/>
      <w:color w:val="1F3763" w:themeColor="accent1" w:themeShade="7F"/>
    </w:rPr>
  </w:style>
  <w:style w:type="paragraph" w:styleId="Heading7">
    <w:name w:val="heading 7"/>
    <w:basedOn w:val="Normal"/>
    <w:next w:val="Normal"/>
    <w:link w:val="Heading7Char"/>
    <w:uiPriority w:val="9"/>
    <w:unhideWhenUsed/>
    <w:qFormat/>
    <w:rsid w:val="00047668"/>
    <w:pPr>
      <w:keepNext/>
      <w:keepLines/>
      <w:spacing w:before="40" w:after="0"/>
      <w:outlineLvl w:val="6"/>
    </w:pPr>
    <w:rPr>
      <w:rFonts w:eastAsiaTheme="majorEastAsia" w:cs="Arial"/>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668"/>
    <w:pPr>
      <w:spacing w:after="0"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10"/>
    <w:rsid w:val="00047668"/>
    <w:rPr>
      <w:rFonts w:ascii="Arial" w:eastAsiaTheme="majorEastAsia" w:hAnsi="Arial" w:cs="Arial"/>
      <w:spacing w:val="-10"/>
      <w:kern w:val="28"/>
      <w:sz w:val="56"/>
      <w:szCs w:val="56"/>
    </w:rPr>
  </w:style>
  <w:style w:type="character" w:customStyle="1" w:styleId="Heading1Char">
    <w:name w:val="Heading 1 Char"/>
    <w:basedOn w:val="DefaultParagraphFont"/>
    <w:link w:val="Heading1"/>
    <w:uiPriority w:val="9"/>
    <w:rsid w:val="00047668"/>
    <w:rPr>
      <w:rFonts w:ascii="Arial" w:eastAsiaTheme="majorEastAsia" w:hAnsi="Arial" w:cs="Arial"/>
      <w:color w:val="2F5496" w:themeColor="accent1" w:themeShade="BF"/>
      <w:sz w:val="36"/>
      <w:szCs w:val="36"/>
    </w:rPr>
  </w:style>
  <w:style w:type="character" w:customStyle="1" w:styleId="Heading2Char">
    <w:name w:val="Heading 2 Char"/>
    <w:basedOn w:val="DefaultParagraphFont"/>
    <w:link w:val="Heading2"/>
    <w:uiPriority w:val="9"/>
    <w:rsid w:val="00047668"/>
    <w:rPr>
      <w:rFonts w:ascii="Arial" w:eastAsiaTheme="majorEastAsia" w:hAnsi="Arial" w:cs="Arial"/>
      <w:color w:val="2F5496" w:themeColor="accent1" w:themeShade="BF"/>
      <w:sz w:val="32"/>
      <w:szCs w:val="32"/>
    </w:rPr>
  </w:style>
  <w:style w:type="character" w:customStyle="1" w:styleId="Heading3Char">
    <w:name w:val="Heading 3 Char"/>
    <w:basedOn w:val="DefaultParagraphFont"/>
    <w:link w:val="Heading3"/>
    <w:uiPriority w:val="9"/>
    <w:rsid w:val="00047668"/>
    <w:rPr>
      <w:rFonts w:ascii="Arial" w:eastAsiaTheme="majorEastAsia" w:hAnsi="Arial" w:cs="Arial"/>
      <w:color w:val="1F3763" w:themeColor="accent1" w:themeShade="7F"/>
      <w:sz w:val="28"/>
      <w:szCs w:val="28"/>
    </w:rPr>
  </w:style>
  <w:style w:type="character" w:customStyle="1" w:styleId="Heading4Char">
    <w:name w:val="Heading 4 Char"/>
    <w:basedOn w:val="DefaultParagraphFont"/>
    <w:link w:val="Heading4"/>
    <w:uiPriority w:val="9"/>
    <w:rsid w:val="00047668"/>
    <w:rPr>
      <w:rFonts w:ascii="Arial" w:eastAsiaTheme="majorEastAsia" w:hAnsi="Arial" w:cs="Arial"/>
      <w:i/>
      <w:iCs/>
      <w:color w:val="2F5496" w:themeColor="accent1" w:themeShade="BF"/>
      <w:sz w:val="28"/>
      <w:szCs w:val="28"/>
    </w:rPr>
  </w:style>
  <w:style w:type="character" w:customStyle="1" w:styleId="Heading5Char">
    <w:name w:val="Heading 5 Char"/>
    <w:basedOn w:val="DefaultParagraphFont"/>
    <w:link w:val="Heading5"/>
    <w:uiPriority w:val="9"/>
    <w:rsid w:val="00047668"/>
    <w:rPr>
      <w:rFonts w:ascii="Arial" w:eastAsiaTheme="majorEastAsia" w:hAnsi="Arial" w:cs="Arial"/>
      <w:color w:val="2F5496" w:themeColor="accent1" w:themeShade="BF"/>
      <w:sz w:val="28"/>
      <w:szCs w:val="28"/>
    </w:rPr>
  </w:style>
  <w:style w:type="character" w:customStyle="1" w:styleId="Heading6Char">
    <w:name w:val="Heading 6 Char"/>
    <w:basedOn w:val="DefaultParagraphFont"/>
    <w:link w:val="Heading6"/>
    <w:uiPriority w:val="9"/>
    <w:rsid w:val="00047668"/>
    <w:rPr>
      <w:rFonts w:ascii="Arial" w:eastAsiaTheme="majorEastAsia" w:hAnsi="Arial" w:cs="Arial"/>
      <w:color w:val="1F3763" w:themeColor="accent1" w:themeShade="7F"/>
      <w:sz w:val="24"/>
    </w:rPr>
  </w:style>
  <w:style w:type="character" w:customStyle="1" w:styleId="Heading7Char">
    <w:name w:val="Heading 7 Char"/>
    <w:basedOn w:val="DefaultParagraphFont"/>
    <w:link w:val="Heading7"/>
    <w:uiPriority w:val="9"/>
    <w:rsid w:val="00047668"/>
    <w:rPr>
      <w:rFonts w:ascii="Arial" w:eastAsiaTheme="majorEastAsia" w:hAnsi="Arial" w:cs="Arial"/>
      <w:i/>
      <w:iCs/>
      <w:color w:val="1F3763" w:themeColor="accent1" w:themeShade="7F"/>
      <w:sz w:val="24"/>
    </w:rPr>
  </w:style>
  <w:style w:type="paragraph" w:styleId="ListParagraph">
    <w:name w:val="List Paragraph"/>
    <w:basedOn w:val="Normal"/>
    <w:uiPriority w:val="34"/>
    <w:qFormat/>
    <w:rsid w:val="004D3A2B"/>
    <w:pPr>
      <w:ind w:left="720"/>
      <w:contextualSpacing/>
    </w:pPr>
  </w:style>
  <w:style w:type="character" w:styleId="Hyperlink">
    <w:name w:val="Hyperlink"/>
    <w:basedOn w:val="DefaultParagraphFont"/>
    <w:uiPriority w:val="99"/>
    <w:unhideWhenUsed/>
    <w:rsid w:val="006C0A3B"/>
    <w:rPr>
      <w:color w:val="0563C1" w:themeColor="hyperlink"/>
      <w:u w:val="single"/>
    </w:rPr>
  </w:style>
  <w:style w:type="character" w:styleId="UnresolvedMention">
    <w:name w:val="Unresolved Mention"/>
    <w:basedOn w:val="DefaultParagraphFont"/>
    <w:uiPriority w:val="99"/>
    <w:semiHidden/>
    <w:unhideWhenUsed/>
    <w:rsid w:val="006C0A3B"/>
    <w:rPr>
      <w:color w:val="605E5C"/>
      <w:shd w:val="clear" w:color="auto" w:fill="E1DFDD"/>
    </w:rPr>
  </w:style>
  <w:style w:type="character" w:styleId="CommentReference">
    <w:name w:val="annotation reference"/>
    <w:rsid w:val="000F5AA0"/>
    <w:rPr>
      <w:sz w:val="16"/>
      <w:szCs w:val="16"/>
    </w:rPr>
  </w:style>
  <w:style w:type="paragraph" w:styleId="CommentText">
    <w:name w:val="annotation text"/>
    <w:basedOn w:val="Normal"/>
    <w:link w:val="CommentTextChar"/>
    <w:rsid w:val="000F5A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F5AA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5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C20"/>
    <w:rPr>
      <w:rFonts w:ascii="Arial" w:hAnsi="Arial"/>
      <w:sz w:val="24"/>
    </w:rPr>
  </w:style>
  <w:style w:type="paragraph" w:styleId="Footer">
    <w:name w:val="footer"/>
    <w:basedOn w:val="Normal"/>
    <w:link w:val="FooterChar"/>
    <w:uiPriority w:val="99"/>
    <w:unhideWhenUsed/>
    <w:rsid w:val="0035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C2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vicadvocacy.org/members/Resources/LegislativeVaccineIssues/PreventMand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53F0-5EC3-421C-A194-E0880CAF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1510</Words>
  <Characters>8610</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LEGISLATIVE REMEDIES TO PREVENT COVID-19 VACCINE MANDATES</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REMEDIES TO PREVENT COVID-19 VACCINE MANDATES</dc:title>
  <dc:subject/>
  <dc:creator>NVIC Advocacy</dc:creator>
  <cp:keywords/>
  <dc:description/>
  <cp:lastModifiedBy>Dawn Richardson</cp:lastModifiedBy>
  <cp:revision>4</cp:revision>
  <dcterms:created xsi:type="dcterms:W3CDTF">2020-12-02T04:18:00Z</dcterms:created>
  <dcterms:modified xsi:type="dcterms:W3CDTF">2020-12-12T01:20:00Z</dcterms:modified>
</cp:coreProperties>
</file>