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8E" w:rsidRDefault="00371EB3" w:rsidP="00CA3331">
      <w:pPr>
        <w:jc w:val="center"/>
        <w:rPr>
          <w:b/>
          <w:sz w:val="28"/>
          <w:szCs w:val="28"/>
        </w:rPr>
      </w:pPr>
      <w:r>
        <w:rPr>
          <w:noProof/>
          <w:lang w:eastAsia="en-US"/>
        </w:rPr>
        <w:drawing>
          <wp:anchor distT="0" distB="0" distL="114300" distR="114300" simplePos="0" relativeHeight="251659264" behindDoc="1" locked="0" layoutInCell="1" allowOverlap="1">
            <wp:simplePos x="0" y="0"/>
            <wp:positionH relativeFrom="column">
              <wp:posOffset>-1205865</wp:posOffset>
            </wp:positionH>
            <wp:positionV relativeFrom="paragraph">
              <wp:posOffset>-911860</wp:posOffset>
            </wp:positionV>
            <wp:extent cx="7886700" cy="10058400"/>
            <wp:effectExtent l="0" t="0" r="1270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6700" cy="10058400"/>
                    </a:xfrm>
                    <a:prstGeom prst="rect">
                      <a:avLst/>
                    </a:prstGeom>
                    <a:noFill/>
                    <a:ln>
                      <a:noFill/>
                    </a:ln>
                  </pic:spPr>
                </pic:pic>
              </a:graphicData>
            </a:graphic>
          </wp:anchor>
        </w:drawing>
      </w:r>
    </w:p>
    <w:p w:rsidR="00371EB3" w:rsidRDefault="00371EB3" w:rsidP="00CA3331">
      <w:pPr>
        <w:jc w:val="center"/>
        <w:rPr>
          <w:b/>
          <w:sz w:val="40"/>
          <w:szCs w:val="40"/>
        </w:rPr>
      </w:pPr>
    </w:p>
    <w:p w:rsidR="00371EB3" w:rsidRDefault="00371EB3" w:rsidP="00CA3331">
      <w:pPr>
        <w:jc w:val="center"/>
        <w:rPr>
          <w:b/>
          <w:sz w:val="40"/>
          <w:szCs w:val="40"/>
        </w:rPr>
      </w:pPr>
    </w:p>
    <w:p w:rsidR="003268EA" w:rsidRPr="003268EA" w:rsidRDefault="003268EA" w:rsidP="00CA3331">
      <w:pPr>
        <w:jc w:val="center"/>
        <w:rPr>
          <w:b/>
          <w:sz w:val="40"/>
          <w:szCs w:val="40"/>
        </w:rPr>
      </w:pPr>
      <w:r w:rsidRPr="003268EA">
        <w:rPr>
          <w:b/>
          <w:sz w:val="40"/>
          <w:szCs w:val="40"/>
        </w:rPr>
        <w:t>VETO AB499 Governor Brown</w:t>
      </w:r>
    </w:p>
    <w:p w:rsidR="003268EA" w:rsidRDefault="003268EA" w:rsidP="00CA3331">
      <w:pPr>
        <w:jc w:val="center"/>
        <w:rPr>
          <w:b/>
          <w:sz w:val="28"/>
          <w:szCs w:val="28"/>
        </w:rPr>
      </w:pPr>
    </w:p>
    <w:p w:rsidR="00CA3331" w:rsidRDefault="00CA3331" w:rsidP="00CA3331">
      <w:pPr>
        <w:jc w:val="center"/>
        <w:rPr>
          <w:b/>
          <w:sz w:val="28"/>
          <w:szCs w:val="28"/>
        </w:rPr>
      </w:pPr>
      <w:r>
        <w:rPr>
          <w:b/>
          <w:sz w:val="28"/>
          <w:szCs w:val="28"/>
        </w:rPr>
        <w:t xml:space="preserve">Children should </w:t>
      </w:r>
      <w:r w:rsidR="00C5168E" w:rsidRPr="001B12CC">
        <w:rPr>
          <w:b/>
          <w:i/>
          <w:sz w:val="28"/>
          <w:szCs w:val="28"/>
        </w:rPr>
        <w:t>not</w:t>
      </w:r>
      <w:r>
        <w:rPr>
          <w:b/>
          <w:sz w:val="28"/>
          <w:szCs w:val="28"/>
        </w:rPr>
        <w:t xml:space="preserve"> be vaccinated for any reason </w:t>
      </w:r>
    </w:p>
    <w:p w:rsidR="00CA3331" w:rsidRDefault="00C5168E" w:rsidP="00CA3331">
      <w:pPr>
        <w:jc w:val="center"/>
        <w:rPr>
          <w:b/>
          <w:sz w:val="28"/>
          <w:szCs w:val="28"/>
        </w:rPr>
      </w:pPr>
      <w:r w:rsidRPr="001B12CC">
        <w:rPr>
          <w:b/>
          <w:i/>
          <w:sz w:val="28"/>
          <w:szCs w:val="28"/>
        </w:rPr>
        <w:t>without</w:t>
      </w:r>
      <w:r w:rsidR="00CA3331">
        <w:rPr>
          <w:b/>
          <w:sz w:val="28"/>
          <w:szCs w:val="28"/>
        </w:rPr>
        <w:t xml:space="preserve"> the voluntary</w:t>
      </w:r>
      <w:r>
        <w:rPr>
          <w:b/>
          <w:sz w:val="28"/>
          <w:szCs w:val="28"/>
        </w:rPr>
        <w:t>,</w:t>
      </w:r>
      <w:r w:rsidR="00CA3331">
        <w:rPr>
          <w:b/>
          <w:sz w:val="28"/>
          <w:szCs w:val="28"/>
        </w:rPr>
        <w:t xml:space="preserve"> informed consent of their parents.</w:t>
      </w:r>
    </w:p>
    <w:p w:rsidR="00CA3331" w:rsidRDefault="00CA3331" w:rsidP="00CA3331">
      <w:pPr>
        <w:jc w:val="center"/>
        <w:rPr>
          <w:b/>
          <w:sz w:val="28"/>
          <w:szCs w:val="28"/>
        </w:rPr>
      </w:pPr>
    </w:p>
    <w:p w:rsidR="00A53D4D" w:rsidRDefault="0040185F" w:rsidP="00CA3331">
      <w:pPr>
        <w:rPr>
          <w:sz w:val="22"/>
          <w:szCs w:val="22"/>
        </w:rPr>
      </w:pPr>
      <w:r>
        <w:rPr>
          <w:sz w:val="22"/>
          <w:szCs w:val="22"/>
        </w:rPr>
        <w:t xml:space="preserve">    </w:t>
      </w:r>
      <w:r w:rsidR="00CA3331" w:rsidRPr="00763D7C">
        <w:rPr>
          <w:sz w:val="22"/>
          <w:szCs w:val="22"/>
        </w:rPr>
        <w:t xml:space="preserve">The non-profit National Vaccine Information Center (NVIC), founded in 1982, is </w:t>
      </w:r>
      <w:r w:rsidR="00A53D4D">
        <w:rPr>
          <w:sz w:val="22"/>
          <w:szCs w:val="22"/>
        </w:rPr>
        <w:t xml:space="preserve">a </w:t>
      </w:r>
      <w:r w:rsidR="00CA3331" w:rsidRPr="00763D7C">
        <w:rPr>
          <w:sz w:val="22"/>
          <w:szCs w:val="22"/>
        </w:rPr>
        <w:t>pro-education</w:t>
      </w:r>
      <w:r w:rsidR="00A53D4D">
        <w:rPr>
          <w:sz w:val="22"/>
          <w:szCs w:val="22"/>
        </w:rPr>
        <w:t>,</w:t>
      </w:r>
      <w:r w:rsidR="00CA3331" w:rsidRPr="00763D7C">
        <w:rPr>
          <w:sz w:val="22"/>
          <w:szCs w:val="22"/>
        </w:rPr>
        <w:t xml:space="preserve"> pro-informed consent </w:t>
      </w:r>
      <w:r w:rsidR="00A53D4D">
        <w:rPr>
          <w:sz w:val="22"/>
          <w:szCs w:val="22"/>
        </w:rPr>
        <w:t>consumer advocacy organization</w:t>
      </w:r>
      <w:r w:rsidR="000F661E">
        <w:rPr>
          <w:sz w:val="22"/>
          <w:szCs w:val="22"/>
        </w:rPr>
        <w:t xml:space="preserve"> that secured vaccine safety and informed consent provisions in the National Childhood Vaccine Injury Act of 1986. </w:t>
      </w:r>
      <w:r w:rsidR="000F661E">
        <w:rPr>
          <w:rStyle w:val="EndnoteReference"/>
          <w:sz w:val="22"/>
          <w:szCs w:val="22"/>
        </w:rPr>
        <w:endnoteReference w:id="1"/>
      </w:r>
      <w:r w:rsidR="00602628">
        <w:rPr>
          <w:sz w:val="22"/>
          <w:szCs w:val="22"/>
        </w:rPr>
        <w:t xml:space="preserve"> </w:t>
      </w:r>
      <w:r w:rsidR="00A53D4D">
        <w:rPr>
          <w:sz w:val="22"/>
          <w:szCs w:val="22"/>
        </w:rPr>
        <w:t>NVIC</w:t>
      </w:r>
      <w:r w:rsidR="00CA3331" w:rsidRPr="00763D7C">
        <w:rPr>
          <w:sz w:val="22"/>
          <w:szCs w:val="22"/>
        </w:rPr>
        <w:t xml:space="preserve"> opposes state and federal legislation that </w:t>
      </w:r>
      <w:r w:rsidR="0021136B">
        <w:rPr>
          <w:sz w:val="22"/>
          <w:szCs w:val="22"/>
        </w:rPr>
        <w:t xml:space="preserve">allows medical </w:t>
      </w:r>
      <w:r w:rsidR="00D5004C">
        <w:rPr>
          <w:sz w:val="22"/>
          <w:szCs w:val="22"/>
        </w:rPr>
        <w:t xml:space="preserve">or school </w:t>
      </w:r>
      <w:r w:rsidR="0021136B">
        <w:rPr>
          <w:sz w:val="22"/>
          <w:szCs w:val="22"/>
        </w:rPr>
        <w:t>personnel to vaccinate</w:t>
      </w:r>
      <w:r w:rsidR="00CA3331" w:rsidRPr="00763D7C">
        <w:rPr>
          <w:sz w:val="22"/>
          <w:szCs w:val="22"/>
        </w:rPr>
        <w:t xml:space="preserve"> </w:t>
      </w:r>
      <w:r w:rsidR="00763D7C">
        <w:rPr>
          <w:sz w:val="22"/>
          <w:szCs w:val="22"/>
        </w:rPr>
        <w:t xml:space="preserve">minor </w:t>
      </w:r>
      <w:r w:rsidR="00CA3331" w:rsidRPr="00763D7C">
        <w:rPr>
          <w:sz w:val="22"/>
          <w:szCs w:val="22"/>
        </w:rPr>
        <w:t>children for any reason without the voluntary, informed consent</w:t>
      </w:r>
      <w:r w:rsidR="00A852EC">
        <w:rPr>
          <w:sz w:val="22"/>
          <w:szCs w:val="22"/>
        </w:rPr>
        <w:t xml:space="preserve"> </w:t>
      </w:r>
      <w:r w:rsidR="00A852EC">
        <w:rPr>
          <w:rStyle w:val="EndnoteReference"/>
          <w:sz w:val="22"/>
          <w:szCs w:val="22"/>
        </w:rPr>
        <w:endnoteReference w:id="2"/>
      </w:r>
      <w:r w:rsidR="00CA3331" w:rsidRPr="00763D7C">
        <w:rPr>
          <w:sz w:val="22"/>
          <w:szCs w:val="22"/>
        </w:rPr>
        <w:t xml:space="preserve"> of their parents. </w:t>
      </w:r>
    </w:p>
    <w:p w:rsidR="00A53D4D" w:rsidRDefault="00A53D4D" w:rsidP="00CA3331">
      <w:pPr>
        <w:rPr>
          <w:sz w:val="22"/>
          <w:szCs w:val="22"/>
        </w:rPr>
      </w:pPr>
    </w:p>
    <w:p w:rsidR="005B195F" w:rsidRDefault="00A53D4D" w:rsidP="00CA3331">
      <w:pPr>
        <w:rPr>
          <w:sz w:val="22"/>
          <w:szCs w:val="22"/>
        </w:rPr>
      </w:pPr>
      <w:r>
        <w:rPr>
          <w:sz w:val="22"/>
          <w:szCs w:val="22"/>
        </w:rPr>
        <w:t xml:space="preserve">     </w:t>
      </w:r>
      <w:r w:rsidR="00CA3331" w:rsidRPr="0040185F">
        <w:rPr>
          <w:b/>
          <w:sz w:val="22"/>
          <w:szCs w:val="22"/>
        </w:rPr>
        <w:t>This is a fundamental product safety</w:t>
      </w:r>
      <w:r w:rsidR="001B12CC">
        <w:rPr>
          <w:b/>
          <w:sz w:val="22"/>
          <w:szCs w:val="22"/>
        </w:rPr>
        <w:t xml:space="preserve"> </w:t>
      </w:r>
      <w:r w:rsidR="00533DD7">
        <w:rPr>
          <w:b/>
          <w:sz w:val="22"/>
          <w:szCs w:val="22"/>
        </w:rPr>
        <w:t>a</w:t>
      </w:r>
      <w:r w:rsidR="00CA3331" w:rsidRPr="0040185F">
        <w:rPr>
          <w:b/>
          <w:sz w:val="22"/>
          <w:szCs w:val="22"/>
        </w:rPr>
        <w:t>nd informed consent issue</w:t>
      </w:r>
      <w:r w:rsidR="00763D7C" w:rsidRPr="0040185F">
        <w:rPr>
          <w:b/>
          <w:sz w:val="22"/>
          <w:szCs w:val="22"/>
        </w:rPr>
        <w:t>.</w:t>
      </w:r>
      <w:r w:rsidR="00763D7C">
        <w:rPr>
          <w:sz w:val="22"/>
          <w:szCs w:val="22"/>
        </w:rPr>
        <w:t xml:space="preserve"> </w:t>
      </w:r>
      <w:r>
        <w:rPr>
          <w:sz w:val="22"/>
          <w:szCs w:val="22"/>
        </w:rPr>
        <w:t xml:space="preserve"> </w:t>
      </w:r>
      <w:r w:rsidR="00E941E7">
        <w:rPr>
          <w:sz w:val="22"/>
          <w:szCs w:val="22"/>
        </w:rPr>
        <w:t xml:space="preserve">The legal right of parents to give their informed consent for minor children </w:t>
      </w:r>
      <w:r w:rsidR="00763D7C">
        <w:rPr>
          <w:sz w:val="22"/>
          <w:szCs w:val="22"/>
        </w:rPr>
        <w:t>to take medical risks</w:t>
      </w:r>
      <w:r w:rsidR="00602628">
        <w:rPr>
          <w:sz w:val="22"/>
          <w:szCs w:val="22"/>
        </w:rPr>
        <w:t xml:space="preserve">, </w:t>
      </w:r>
      <w:r w:rsidR="00533DD7">
        <w:rPr>
          <w:rStyle w:val="EndnoteReference"/>
          <w:sz w:val="22"/>
          <w:szCs w:val="22"/>
        </w:rPr>
        <w:endnoteReference w:id="3"/>
      </w:r>
      <w:r w:rsidR="001E34DF">
        <w:rPr>
          <w:sz w:val="22"/>
          <w:szCs w:val="22"/>
        </w:rPr>
        <w:t xml:space="preserve"> </w:t>
      </w:r>
      <w:r w:rsidR="00602628">
        <w:rPr>
          <w:sz w:val="22"/>
          <w:szCs w:val="22"/>
        </w:rPr>
        <w:t>which can</w:t>
      </w:r>
      <w:r w:rsidR="00763D7C">
        <w:rPr>
          <w:sz w:val="22"/>
          <w:szCs w:val="22"/>
        </w:rPr>
        <w:t xml:space="preserve"> result in injury or death</w:t>
      </w:r>
      <w:r w:rsidR="00602628">
        <w:rPr>
          <w:sz w:val="22"/>
          <w:szCs w:val="22"/>
        </w:rPr>
        <w:t>,</w:t>
      </w:r>
      <w:r w:rsidR="00763D7C">
        <w:rPr>
          <w:sz w:val="22"/>
          <w:szCs w:val="22"/>
        </w:rPr>
        <w:t xml:space="preserve"> </w:t>
      </w:r>
      <w:r w:rsidR="00CA3331" w:rsidRPr="00763D7C">
        <w:rPr>
          <w:sz w:val="22"/>
          <w:szCs w:val="22"/>
        </w:rPr>
        <w:t>trumps the goals of state agencies or vaccine corporations</w:t>
      </w:r>
      <w:r w:rsidR="0084573E">
        <w:rPr>
          <w:sz w:val="22"/>
          <w:szCs w:val="22"/>
        </w:rPr>
        <w:t xml:space="preserve"> </w:t>
      </w:r>
      <w:r w:rsidR="0084573E">
        <w:rPr>
          <w:rStyle w:val="EndnoteReference"/>
          <w:sz w:val="22"/>
          <w:szCs w:val="22"/>
        </w:rPr>
        <w:endnoteReference w:id="4"/>
      </w:r>
      <w:r w:rsidR="00CA3331" w:rsidRPr="00763D7C">
        <w:rPr>
          <w:sz w:val="22"/>
          <w:szCs w:val="22"/>
        </w:rPr>
        <w:t xml:space="preserve"> and </w:t>
      </w:r>
      <w:r w:rsidR="000657A3">
        <w:rPr>
          <w:sz w:val="22"/>
          <w:szCs w:val="22"/>
        </w:rPr>
        <w:t>medical organizations,</w:t>
      </w:r>
      <w:r w:rsidR="00B62EE2">
        <w:rPr>
          <w:sz w:val="22"/>
          <w:szCs w:val="22"/>
        </w:rPr>
        <w:t xml:space="preserve"> </w:t>
      </w:r>
      <w:r w:rsidR="00B62EE2">
        <w:rPr>
          <w:rStyle w:val="EndnoteReference"/>
          <w:sz w:val="22"/>
          <w:szCs w:val="22"/>
        </w:rPr>
        <w:endnoteReference w:id="5"/>
      </w:r>
      <w:r w:rsidR="00CA3331" w:rsidRPr="00763D7C">
        <w:rPr>
          <w:sz w:val="22"/>
          <w:szCs w:val="22"/>
        </w:rPr>
        <w:t xml:space="preserve"> </w:t>
      </w:r>
      <w:r w:rsidR="00E77CF3">
        <w:rPr>
          <w:rStyle w:val="EndnoteReference"/>
          <w:sz w:val="22"/>
          <w:szCs w:val="22"/>
        </w:rPr>
        <w:endnoteReference w:id="6"/>
      </w:r>
      <w:r w:rsidR="00E77CF3">
        <w:rPr>
          <w:sz w:val="22"/>
          <w:szCs w:val="22"/>
        </w:rPr>
        <w:t xml:space="preserve"> </w:t>
      </w:r>
      <w:r w:rsidR="00CA3331" w:rsidRPr="00763D7C">
        <w:rPr>
          <w:sz w:val="22"/>
          <w:szCs w:val="22"/>
        </w:rPr>
        <w:t xml:space="preserve">whose </w:t>
      </w:r>
      <w:r w:rsidR="001E34DF">
        <w:rPr>
          <w:sz w:val="22"/>
          <w:szCs w:val="22"/>
        </w:rPr>
        <w:t xml:space="preserve">employees, </w:t>
      </w:r>
      <w:r w:rsidR="00CA3331" w:rsidRPr="00763D7C">
        <w:rPr>
          <w:sz w:val="22"/>
          <w:szCs w:val="22"/>
        </w:rPr>
        <w:t xml:space="preserve">stockholders or members profit </w:t>
      </w:r>
      <w:r w:rsidR="00763D7C">
        <w:rPr>
          <w:sz w:val="22"/>
          <w:szCs w:val="22"/>
        </w:rPr>
        <w:t xml:space="preserve">or </w:t>
      </w:r>
      <w:r w:rsidR="00692534">
        <w:rPr>
          <w:sz w:val="22"/>
          <w:szCs w:val="22"/>
        </w:rPr>
        <w:t>professionally</w:t>
      </w:r>
      <w:r w:rsidR="00763D7C">
        <w:rPr>
          <w:sz w:val="22"/>
          <w:szCs w:val="22"/>
        </w:rPr>
        <w:t xml:space="preserve"> benefit from increased, </w:t>
      </w:r>
      <w:r w:rsidR="005B195F">
        <w:rPr>
          <w:sz w:val="22"/>
          <w:szCs w:val="22"/>
        </w:rPr>
        <w:t>widespread</w:t>
      </w:r>
      <w:r w:rsidR="00763D7C">
        <w:rPr>
          <w:sz w:val="22"/>
          <w:szCs w:val="22"/>
        </w:rPr>
        <w:t xml:space="preserve"> </w:t>
      </w:r>
      <w:r w:rsidR="005B195F">
        <w:rPr>
          <w:sz w:val="22"/>
          <w:szCs w:val="22"/>
        </w:rPr>
        <w:t>vaccine use.</w:t>
      </w:r>
    </w:p>
    <w:p w:rsidR="00A53D4D" w:rsidRDefault="00A53D4D" w:rsidP="00CA3331">
      <w:pPr>
        <w:rPr>
          <w:sz w:val="22"/>
          <w:szCs w:val="22"/>
        </w:rPr>
      </w:pPr>
    </w:p>
    <w:p w:rsidR="0021136B" w:rsidRDefault="0012169D" w:rsidP="00CA3331">
      <w:pPr>
        <w:rPr>
          <w:sz w:val="22"/>
          <w:szCs w:val="22"/>
        </w:rPr>
      </w:pPr>
      <w:r>
        <w:rPr>
          <w:sz w:val="22"/>
          <w:szCs w:val="22"/>
        </w:rPr>
        <w:t xml:space="preserve">     </w:t>
      </w:r>
      <w:r w:rsidR="00B9433E" w:rsidRPr="00B9433E">
        <w:rPr>
          <w:b/>
          <w:sz w:val="22"/>
          <w:szCs w:val="22"/>
        </w:rPr>
        <w:t>Unlike medical</w:t>
      </w:r>
      <w:r w:rsidR="00B96B7F">
        <w:rPr>
          <w:b/>
          <w:sz w:val="22"/>
          <w:szCs w:val="22"/>
        </w:rPr>
        <w:t>, school</w:t>
      </w:r>
      <w:r w:rsidR="00B9433E" w:rsidRPr="00B9433E">
        <w:rPr>
          <w:b/>
          <w:sz w:val="22"/>
          <w:szCs w:val="22"/>
        </w:rPr>
        <w:t xml:space="preserve"> </w:t>
      </w:r>
      <w:r w:rsidR="0084573E">
        <w:rPr>
          <w:b/>
          <w:sz w:val="22"/>
          <w:szCs w:val="22"/>
        </w:rPr>
        <w:t xml:space="preserve">or other </w:t>
      </w:r>
      <w:r w:rsidR="00B9433E" w:rsidRPr="00B9433E">
        <w:rPr>
          <w:b/>
          <w:sz w:val="22"/>
          <w:szCs w:val="22"/>
        </w:rPr>
        <w:t>personnel</w:t>
      </w:r>
      <w:r w:rsidR="0021136B">
        <w:rPr>
          <w:b/>
          <w:sz w:val="22"/>
          <w:szCs w:val="22"/>
        </w:rPr>
        <w:t xml:space="preserve"> administering</w:t>
      </w:r>
      <w:r w:rsidR="00B9433E" w:rsidRPr="00B9433E">
        <w:rPr>
          <w:b/>
          <w:sz w:val="22"/>
          <w:szCs w:val="22"/>
        </w:rPr>
        <w:t xml:space="preserve"> vaccines</w:t>
      </w:r>
      <w:r w:rsidR="0021136B">
        <w:rPr>
          <w:b/>
          <w:sz w:val="22"/>
          <w:szCs w:val="22"/>
        </w:rPr>
        <w:t xml:space="preserve">, </w:t>
      </w:r>
      <w:r w:rsidR="00B9433E" w:rsidRPr="00B9433E">
        <w:rPr>
          <w:b/>
          <w:sz w:val="22"/>
          <w:szCs w:val="22"/>
        </w:rPr>
        <w:t>parents are legally accountable and financial</w:t>
      </w:r>
      <w:r w:rsidR="00B9433E">
        <w:rPr>
          <w:b/>
          <w:sz w:val="22"/>
          <w:szCs w:val="22"/>
        </w:rPr>
        <w:t>ly</w:t>
      </w:r>
      <w:r w:rsidR="00B9433E" w:rsidRPr="00B9433E">
        <w:rPr>
          <w:b/>
          <w:sz w:val="22"/>
          <w:szCs w:val="22"/>
        </w:rPr>
        <w:t xml:space="preserve"> responsible for the </w:t>
      </w:r>
      <w:r w:rsidR="004B4107">
        <w:rPr>
          <w:b/>
          <w:sz w:val="22"/>
          <w:szCs w:val="22"/>
        </w:rPr>
        <w:t>health</w:t>
      </w:r>
      <w:r w:rsidR="00B9433E">
        <w:rPr>
          <w:b/>
          <w:sz w:val="22"/>
          <w:szCs w:val="22"/>
        </w:rPr>
        <w:t xml:space="preserve"> care</w:t>
      </w:r>
      <w:r w:rsidR="00B9433E" w:rsidRPr="00B9433E">
        <w:rPr>
          <w:b/>
          <w:sz w:val="22"/>
          <w:szCs w:val="22"/>
        </w:rPr>
        <w:t xml:space="preserve"> </w:t>
      </w:r>
      <w:r w:rsidR="0021136B">
        <w:rPr>
          <w:b/>
          <w:sz w:val="22"/>
          <w:szCs w:val="22"/>
        </w:rPr>
        <w:t xml:space="preserve">and education </w:t>
      </w:r>
      <w:r w:rsidR="00B9433E" w:rsidRPr="00B9433E">
        <w:rPr>
          <w:b/>
          <w:sz w:val="22"/>
          <w:szCs w:val="22"/>
        </w:rPr>
        <w:t>of a minor child</w:t>
      </w:r>
      <w:r w:rsidR="00B9433E">
        <w:rPr>
          <w:b/>
          <w:sz w:val="22"/>
          <w:szCs w:val="22"/>
        </w:rPr>
        <w:t xml:space="preserve"> when that child</w:t>
      </w:r>
      <w:r w:rsidR="00B9433E" w:rsidRPr="00B9433E">
        <w:rPr>
          <w:b/>
          <w:sz w:val="22"/>
          <w:szCs w:val="22"/>
        </w:rPr>
        <w:t xml:space="preserve"> experiences</w:t>
      </w:r>
      <w:r w:rsidRPr="00A53D4D">
        <w:rPr>
          <w:b/>
          <w:sz w:val="22"/>
          <w:szCs w:val="22"/>
        </w:rPr>
        <w:t xml:space="preserve"> a vaccine reaction </w:t>
      </w:r>
      <w:r w:rsidR="0021136B">
        <w:rPr>
          <w:b/>
          <w:sz w:val="22"/>
          <w:szCs w:val="22"/>
        </w:rPr>
        <w:t xml:space="preserve">and becomes </w:t>
      </w:r>
      <w:r w:rsidRPr="00A53D4D">
        <w:rPr>
          <w:b/>
          <w:sz w:val="22"/>
          <w:szCs w:val="22"/>
        </w:rPr>
        <w:t>chronic</w:t>
      </w:r>
      <w:r w:rsidR="0021136B">
        <w:rPr>
          <w:b/>
          <w:sz w:val="22"/>
          <w:szCs w:val="22"/>
        </w:rPr>
        <w:t xml:space="preserve">ally ill or disabled. </w:t>
      </w:r>
      <w:r>
        <w:rPr>
          <w:sz w:val="22"/>
          <w:szCs w:val="22"/>
        </w:rPr>
        <w:t xml:space="preserve"> </w:t>
      </w:r>
      <w:r w:rsidR="0040185F">
        <w:rPr>
          <w:sz w:val="22"/>
          <w:szCs w:val="22"/>
        </w:rPr>
        <w:t>Existing and future vaccines for sexually transmitted diseases, such as HPV,</w:t>
      </w:r>
      <w:r w:rsidR="004510AD">
        <w:rPr>
          <w:sz w:val="22"/>
          <w:szCs w:val="22"/>
        </w:rPr>
        <w:t xml:space="preserve"> </w:t>
      </w:r>
      <w:r w:rsidR="00CA1924">
        <w:rPr>
          <w:sz w:val="22"/>
          <w:szCs w:val="22"/>
        </w:rPr>
        <w:t>hepatitis B,</w:t>
      </w:r>
      <w:r w:rsidR="004510AD">
        <w:rPr>
          <w:sz w:val="22"/>
          <w:szCs w:val="22"/>
        </w:rPr>
        <w:t xml:space="preserve"> </w:t>
      </w:r>
      <w:r w:rsidR="001F2563">
        <w:rPr>
          <w:sz w:val="22"/>
          <w:szCs w:val="22"/>
        </w:rPr>
        <w:t>herpes,</w:t>
      </w:r>
      <w:r w:rsidR="004510AD">
        <w:rPr>
          <w:sz w:val="22"/>
          <w:szCs w:val="22"/>
        </w:rPr>
        <w:t xml:space="preserve"> </w:t>
      </w:r>
      <w:r w:rsidR="004510AD">
        <w:rPr>
          <w:rStyle w:val="EndnoteReference"/>
          <w:sz w:val="22"/>
          <w:szCs w:val="22"/>
        </w:rPr>
        <w:endnoteReference w:id="7"/>
      </w:r>
      <w:r w:rsidR="004510AD">
        <w:rPr>
          <w:sz w:val="22"/>
          <w:szCs w:val="22"/>
        </w:rPr>
        <w:t xml:space="preserve"> </w:t>
      </w:r>
      <w:r w:rsidR="001F2563">
        <w:rPr>
          <w:sz w:val="22"/>
          <w:szCs w:val="22"/>
        </w:rPr>
        <w:t>gonorrhea</w:t>
      </w:r>
      <w:r w:rsidR="005C0772">
        <w:rPr>
          <w:sz w:val="22"/>
          <w:szCs w:val="22"/>
        </w:rPr>
        <w:t>,</w:t>
      </w:r>
      <w:r w:rsidR="004510AD">
        <w:rPr>
          <w:sz w:val="22"/>
          <w:szCs w:val="22"/>
        </w:rPr>
        <w:t xml:space="preserve"> </w:t>
      </w:r>
      <w:r w:rsidR="004510AD">
        <w:rPr>
          <w:rStyle w:val="EndnoteReference"/>
          <w:sz w:val="22"/>
          <w:szCs w:val="22"/>
        </w:rPr>
        <w:endnoteReference w:id="8"/>
      </w:r>
      <w:r w:rsidR="001F2563">
        <w:rPr>
          <w:sz w:val="22"/>
          <w:szCs w:val="22"/>
        </w:rPr>
        <w:t xml:space="preserve"> </w:t>
      </w:r>
      <w:r w:rsidR="005C0772">
        <w:rPr>
          <w:sz w:val="22"/>
          <w:szCs w:val="22"/>
        </w:rPr>
        <w:t xml:space="preserve">chlamydia </w:t>
      </w:r>
      <w:r w:rsidR="005C0772">
        <w:rPr>
          <w:rStyle w:val="EndnoteReference"/>
          <w:sz w:val="22"/>
          <w:szCs w:val="22"/>
        </w:rPr>
        <w:endnoteReference w:id="9"/>
      </w:r>
      <w:r w:rsidR="005C0772">
        <w:rPr>
          <w:sz w:val="22"/>
          <w:szCs w:val="22"/>
        </w:rPr>
        <w:t xml:space="preserve"> </w:t>
      </w:r>
      <w:r w:rsidR="001F2563">
        <w:rPr>
          <w:sz w:val="22"/>
          <w:szCs w:val="22"/>
        </w:rPr>
        <w:t>and HIV/AIDS,</w:t>
      </w:r>
      <w:r w:rsidR="009F027B">
        <w:rPr>
          <w:sz w:val="22"/>
          <w:szCs w:val="22"/>
        </w:rPr>
        <w:t xml:space="preserve"> </w:t>
      </w:r>
      <w:r w:rsidR="009F027B">
        <w:rPr>
          <w:rStyle w:val="EndnoteReference"/>
          <w:sz w:val="22"/>
          <w:szCs w:val="22"/>
        </w:rPr>
        <w:endnoteReference w:id="10"/>
      </w:r>
      <w:r w:rsidR="001F2563">
        <w:rPr>
          <w:sz w:val="22"/>
          <w:szCs w:val="22"/>
        </w:rPr>
        <w:t xml:space="preserve"> </w:t>
      </w:r>
      <w:r w:rsidR="0040185F">
        <w:rPr>
          <w:sz w:val="22"/>
          <w:szCs w:val="22"/>
        </w:rPr>
        <w:t>should not be placed in a special category t</w:t>
      </w:r>
      <w:r>
        <w:rPr>
          <w:sz w:val="22"/>
          <w:szCs w:val="22"/>
        </w:rPr>
        <w:t>o</w:t>
      </w:r>
      <w:r w:rsidR="0040185F">
        <w:rPr>
          <w:sz w:val="22"/>
          <w:szCs w:val="22"/>
        </w:rPr>
        <w:t xml:space="preserve"> allow </w:t>
      </w:r>
      <w:r w:rsidR="004B4107">
        <w:rPr>
          <w:sz w:val="22"/>
          <w:szCs w:val="22"/>
        </w:rPr>
        <w:t xml:space="preserve">legally </w:t>
      </w:r>
      <w:r w:rsidR="0021136B">
        <w:rPr>
          <w:sz w:val="22"/>
          <w:szCs w:val="22"/>
        </w:rPr>
        <w:t xml:space="preserve">unaccountable </w:t>
      </w:r>
      <w:r w:rsidR="001F2563">
        <w:rPr>
          <w:sz w:val="22"/>
          <w:szCs w:val="22"/>
        </w:rPr>
        <w:t>individuals</w:t>
      </w:r>
      <w:r>
        <w:rPr>
          <w:sz w:val="22"/>
          <w:szCs w:val="22"/>
        </w:rPr>
        <w:t xml:space="preserve"> to persuade a minor child to get vaccinated without the knowledge or consent of the parent</w:t>
      </w:r>
      <w:r w:rsidR="0021136B">
        <w:rPr>
          <w:sz w:val="22"/>
          <w:szCs w:val="22"/>
        </w:rPr>
        <w:t>.</w:t>
      </w:r>
    </w:p>
    <w:p w:rsidR="0021136B" w:rsidRDefault="0021136B" w:rsidP="00CA3331">
      <w:pPr>
        <w:rPr>
          <w:sz w:val="22"/>
          <w:szCs w:val="22"/>
        </w:rPr>
      </w:pPr>
    </w:p>
    <w:p w:rsidR="00692534" w:rsidRDefault="0040185F" w:rsidP="00CA3331">
      <w:pPr>
        <w:rPr>
          <w:b/>
        </w:rPr>
      </w:pPr>
      <w:r w:rsidRPr="0040185F">
        <w:rPr>
          <w:b/>
        </w:rPr>
        <w:t>Product Safety</w:t>
      </w:r>
      <w:r w:rsidR="00CA61B7">
        <w:rPr>
          <w:b/>
        </w:rPr>
        <w:t xml:space="preserve"> &amp; Liability</w:t>
      </w:r>
      <w:r w:rsidRPr="0040185F">
        <w:rPr>
          <w:b/>
        </w:rPr>
        <w:t>:</w:t>
      </w:r>
      <w:r w:rsidR="00A53D4D">
        <w:rPr>
          <w:b/>
        </w:rPr>
        <w:t xml:space="preserve"> </w:t>
      </w:r>
    </w:p>
    <w:p w:rsidR="00A53D4D" w:rsidRDefault="00A53D4D" w:rsidP="00CA3331">
      <w:pPr>
        <w:rPr>
          <w:b/>
        </w:rPr>
      </w:pPr>
    </w:p>
    <w:p w:rsidR="00A53D4D" w:rsidRPr="00A53D4D" w:rsidRDefault="006E3617" w:rsidP="00A53D4D">
      <w:pPr>
        <w:pStyle w:val="ListParagraph"/>
        <w:numPr>
          <w:ilvl w:val="0"/>
          <w:numId w:val="1"/>
        </w:numPr>
        <w:rPr>
          <w:b/>
          <w:sz w:val="22"/>
          <w:szCs w:val="22"/>
        </w:rPr>
      </w:pPr>
      <w:r>
        <w:rPr>
          <w:sz w:val="22"/>
          <w:szCs w:val="22"/>
        </w:rPr>
        <w:t xml:space="preserve">Vaccines are pharmaceutical products that </w:t>
      </w:r>
      <w:r w:rsidR="00A53D4D" w:rsidRPr="00A53D4D">
        <w:rPr>
          <w:sz w:val="22"/>
          <w:szCs w:val="22"/>
        </w:rPr>
        <w:t>carr</w:t>
      </w:r>
      <w:r>
        <w:rPr>
          <w:sz w:val="22"/>
          <w:szCs w:val="22"/>
        </w:rPr>
        <w:t>y</w:t>
      </w:r>
      <w:r w:rsidR="00A53D4D" w:rsidRPr="00A53D4D">
        <w:rPr>
          <w:sz w:val="22"/>
          <w:szCs w:val="22"/>
        </w:rPr>
        <w:t xml:space="preserve"> a risk of injury or death</w:t>
      </w:r>
      <w:r w:rsidR="00E941E7">
        <w:rPr>
          <w:sz w:val="22"/>
          <w:szCs w:val="22"/>
        </w:rPr>
        <w:t>,</w:t>
      </w:r>
      <w:r w:rsidR="00B54D9C">
        <w:rPr>
          <w:sz w:val="22"/>
          <w:szCs w:val="22"/>
        </w:rPr>
        <w:t xml:space="preserve"> </w:t>
      </w:r>
      <w:r w:rsidR="005E6C46">
        <w:rPr>
          <w:sz w:val="22"/>
          <w:szCs w:val="22"/>
        </w:rPr>
        <w:t xml:space="preserve">which </w:t>
      </w:r>
      <w:r w:rsidR="005E6C46" w:rsidRPr="00A53D4D">
        <w:rPr>
          <w:sz w:val="22"/>
          <w:szCs w:val="22"/>
        </w:rPr>
        <w:t>can</w:t>
      </w:r>
      <w:r w:rsidR="00A53D4D" w:rsidRPr="00A53D4D">
        <w:rPr>
          <w:sz w:val="22"/>
          <w:szCs w:val="22"/>
        </w:rPr>
        <w:t xml:space="preserve"> be greater for some</w:t>
      </w:r>
      <w:r>
        <w:rPr>
          <w:sz w:val="22"/>
          <w:szCs w:val="22"/>
        </w:rPr>
        <w:t xml:space="preserve"> than others</w:t>
      </w:r>
      <w:r w:rsidR="00A53D4D">
        <w:rPr>
          <w:sz w:val="22"/>
          <w:szCs w:val="22"/>
        </w:rPr>
        <w:t>;</w:t>
      </w:r>
      <w:r w:rsidR="00B54D9C">
        <w:rPr>
          <w:sz w:val="22"/>
          <w:szCs w:val="22"/>
        </w:rPr>
        <w:t xml:space="preserve"> </w:t>
      </w:r>
      <w:r w:rsidR="00B54D9C">
        <w:rPr>
          <w:rStyle w:val="EndnoteReference"/>
          <w:sz w:val="22"/>
          <w:szCs w:val="22"/>
        </w:rPr>
        <w:endnoteReference w:id="11"/>
      </w:r>
    </w:p>
    <w:p w:rsidR="004B4107" w:rsidRDefault="00803DCE" w:rsidP="00A53D4D">
      <w:pPr>
        <w:pStyle w:val="ListParagraph"/>
        <w:numPr>
          <w:ilvl w:val="0"/>
          <w:numId w:val="1"/>
        </w:numPr>
        <w:rPr>
          <w:b/>
          <w:sz w:val="22"/>
          <w:szCs w:val="22"/>
        </w:rPr>
      </w:pPr>
      <w:r>
        <w:rPr>
          <w:sz w:val="22"/>
          <w:szCs w:val="22"/>
        </w:rPr>
        <w:t>The</w:t>
      </w:r>
      <w:r w:rsidR="00CA1924">
        <w:rPr>
          <w:sz w:val="22"/>
          <w:szCs w:val="22"/>
        </w:rPr>
        <w:t xml:space="preserve"> </w:t>
      </w:r>
      <w:r w:rsidR="004B4107" w:rsidRPr="006E3617">
        <w:rPr>
          <w:sz w:val="22"/>
          <w:szCs w:val="22"/>
        </w:rPr>
        <w:t xml:space="preserve">Institute of Medicine </w:t>
      </w:r>
      <w:r>
        <w:rPr>
          <w:sz w:val="22"/>
          <w:szCs w:val="22"/>
        </w:rPr>
        <w:t xml:space="preserve">(IOM) </w:t>
      </w:r>
      <w:r w:rsidR="004B4107" w:rsidRPr="006E3617">
        <w:rPr>
          <w:sz w:val="22"/>
          <w:szCs w:val="22"/>
        </w:rPr>
        <w:t xml:space="preserve">concluded </w:t>
      </w:r>
      <w:r>
        <w:rPr>
          <w:sz w:val="22"/>
          <w:szCs w:val="22"/>
        </w:rPr>
        <w:t xml:space="preserve">in a 2011 report </w:t>
      </w:r>
      <w:r w:rsidR="004B4107" w:rsidRPr="006E3617">
        <w:rPr>
          <w:sz w:val="22"/>
          <w:szCs w:val="22"/>
        </w:rPr>
        <w:t xml:space="preserve">that </w:t>
      </w:r>
      <w:r w:rsidR="004B4107" w:rsidRPr="00E95079">
        <w:rPr>
          <w:b/>
          <w:i/>
          <w:sz w:val="22"/>
          <w:szCs w:val="22"/>
        </w:rPr>
        <w:t xml:space="preserve">scientific evidence </w:t>
      </w:r>
      <w:r w:rsidR="00E941E7" w:rsidRPr="00E95079">
        <w:rPr>
          <w:b/>
          <w:i/>
          <w:sz w:val="22"/>
          <w:szCs w:val="22"/>
        </w:rPr>
        <w:t>is</w:t>
      </w:r>
      <w:r w:rsidR="00E941E7" w:rsidRPr="00E95079">
        <w:rPr>
          <w:b/>
          <w:sz w:val="22"/>
          <w:szCs w:val="22"/>
        </w:rPr>
        <w:t xml:space="preserve"> </w:t>
      </w:r>
      <w:r w:rsidR="004B4107" w:rsidRPr="00E95079">
        <w:rPr>
          <w:b/>
          <w:i/>
          <w:sz w:val="22"/>
          <w:szCs w:val="22"/>
        </w:rPr>
        <w:t>inadequate</w:t>
      </w:r>
      <w:r w:rsidR="004B4107" w:rsidRPr="00E95079">
        <w:rPr>
          <w:b/>
          <w:sz w:val="22"/>
          <w:szCs w:val="22"/>
        </w:rPr>
        <w:t xml:space="preserve"> to determine whether HPV vaccine </w:t>
      </w:r>
      <w:r w:rsidR="004B4107" w:rsidRPr="00E95079">
        <w:rPr>
          <w:b/>
          <w:i/>
          <w:sz w:val="22"/>
          <w:szCs w:val="22"/>
        </w:rPr>
        <w:t xml:space="preserve">can or cannot </w:t>
      </w:r>
      <w:r w:rsidR="004B4107" w:rsidRPr="00E95079">
        <w:rPr>
          <w:b/>
          <w:sz w:val="22"/>
          <w:szCs w:val="22"/>
        </w:rPr>
        <w:t xml:space="preserve">cause different kinds of </w:t>
      </w:r>
      <w:r w:rsidR="001860B4" w:rsidRPr="00E95079">
        <w:rPr>
          <w:b/>
          <w:sz w:val="22"/>
          <w:szCs w:val="22"/>
        </w:rPr>
        <w:t xml:space="preserve">serious </w:t>
      </w:r>
      <w:r w:rsidR="004B4107" w:rsidRPr="00E95079">
        <w:rPr>
          <w:b/>
          <w:sz w:val="22"/>
          <w:szCs w:val="22"/>
        </w:rPr>
        <w:t>brain and immune system dysfunction,</w:t>
      </w:r>
      <w:r w:rsidR="004B4107" w:rsidRPr="006E3617">
        <w:rPr>
          <w:sz w:val="22"/>
          <w:szCs w:val="22"/>
        </w:rPr>
        <w:t xml:space="preserve"> including brain inflammation (ADEM); </w:t>
      </w:r>
      <w:r w:rsidR="006E3617" w:rsidRPr="006E3617">
        <w:rPr>
          <w:sz w:val="22"/>
          <w:szCs w:val="22"/>
        </w:rPr>
        <w:t>chronic inflammatory poly</w:t>
      </w:r>
      <w:r w:rsidR="004B4107" w:rsidRPr="006E3617">
        <w:rPr>
          <w:sz w:val="22"/>
          <w:szCs w:val="22"/>
        </w:rPr>
        <w:t>neuropathy, arthralgia, multiple sclerosis, Guillain Barre Syndrome (GBS)</w:t>
      </w:r>
      <w:r w:rsidR="006E3617" w:rsidRPr="006E3617">
        <w:rPr>
          <w:sz w:val="22"/>
          <w:szCs w:val="22"/>
        </w:rPr>
        <w:t>; ALS (Lou Gehrig’s disease); pancreatitis and blood disorders</w:t>
      </w:r>
      <w:r w:rsidR="001860B4">
        <w:rPr>
          <w:sz w:val="22"/>
          <w:szCs w:val="22"/>
        </w:rPr>
        <w:t xml:space="preserve">. </w:t>
      </w:r>
      <w:r w:rsidR="00DC1C4E">
        <w:rPr>
          <w:rStyle w:val="EndnoteReference"/>
          <w:sz w:val="22"/>
          <w:szCs w:val="22"/>
        </w:rPr>
        <w:endnoteReference w:id="12"/>
      </w:r>
      <w:r w:rsidR="00DC1C4E">
        <w:rPr>
          <w:sz w:val="22"/>
          <w:szCs w:val="22"/>
        </w:rPr>
        <w:t xml:space="preserve"> </w:t>
      </w:r>
      <w:r w:rsidR="00F12B31">
        <w:rPr>
          <w:rStyle w:val="EndnoteReference"/>
          <w:sz w:val="22"/>
          <w:szCs w:val="22"/>
        </w:rPr>
        <w:endnoteReference w:id="13"/>
      </w:r>
      <w:r w:rsidR="00F12B31">
        <w:rPr>
          <w:sz w:val="22"/>
          <w:szCs w:val="22"/>
        </w:rPr>
        <w:t xml:space="preserve"> </w:t>
      </w:r>
      <w:r w:rsidR="001860B4">
        <w:rPr>
          <w:sz w:val="22"/>
          <w:szCs w:val="22"/>
        </w:rPr>
        <w:t xml:space="preserve">As of </w:t>
      </w:r>
      <w:r w:rsidR="001A57A6">
        <w:rPr>
          <w:sz w:val="22"/>
          <w:szCs w:val="22"/>
        </w:rPr>
        <w:t>July</w:t>
      </w:r>
      <w:r w:rsidR="001860B4">
        <w:rPr>
          <w:sz w:val="22"/>
          <w:szCs w:val="22"/>
        </w:rPr>
        <w:t xml:space="preserve"> 2011, there have been</w:t>
      </w:r>
      <w:r w:rsidR="001A57A6">
        <w:rPr>
          <w:sz w:val="22"/>
          <w:szCs w:val="22"/>
        </w:rPr>
        <w:t xml:space="preserve"> 21,000 reports </w:t>
      </w:r>
      <w:r w:rsidR="009E6255">
        <w:rPr>
          <w:sz w:val="22"/>
          <w:szCs w:val="22"/>
        </w:rPr>
        <w:t xml:space="preserve">to the government </w:t>
      </w:r>
      <w:r w:rsidR="001A57A6">
        <w:rPr>
          <w:sz w:val="22"/>
          <w:szCs w:val="22"/>
        </w:rPr>
        <w:t>of health problems following HPV (Gardasil) vaccination, including 3,000 serious cases and 98 deaths.</w:t>
      </w:r>
      <w:r w:rsidR="004B4107" w:rsidRPr="006E3617">
        <w:rPr>
          <w:b/>
          <w:sz w:val="22"/>
          <w:szCs w:val="22"/>
        </w:rPr>
        <w:t xml:space="preserve"> </w:t>
      </w:r>
      <w:r w:rsidR="00F12B31">
        <w:rPr>
          <w:rStyle w:val="EndnoteReference"/>
          <w:b/>
          <w:sz w:val="22"/>
          <w:szCs w:val="22"/>
        </w:rPr>
        <w:endnoteReference w:id="14"/>
      </w:r>
    </w:p>
    <w:p w:rsidR="00CA1924" w:rsidRPr="006E3617" w:rsidRDefault="00803DCE" w:rsidP="00A53D4D">
      <w:pPr>
        <w:pStyle w:val="ListParagraph"/>
        <w:numPr>
          <w:ilvl w:val="0"/>
          <w:numId w:val="1"/>
        </w:numPr>
        <w:rPr>
          <w:b/>
          <w:sz w:val="22"/>
          <w:szCs w:val="22"/>
        </w:rPr>
      </w:pPr>
      <w:r>
        <w:rPr>
          <w:sz w:val="22"/>
          <w:szCs w:val="22"/>
        </w:rPr>
        <w:t xml:space="preserve">The IOM </w:t>
      </w:r>
      <w:r w:rsidR="001C1CD1">
        <w:rPr>
          <w:sz w:val="22"/>
          <w:szCs w:val="22"/>
        </w:rPr>
        <w:t xml:space="preserve">also concluded that </w:t>
      </w:r>
      <w:r w:rsidRPr="00E95079">
        <w:rPr>
          <w:b/>
          <w:i/>
          <w:sz w:val="22"/>
          <w:szCs w:val="22"/>
        </w:rPr>
        <w:t xml:space="preserve">scientific evidence is inadequate </w:t>
      </w:r>
      <w:r w:rsidRPr="00E95079">
        <w:rPr>
          <w:b/>
          <w:sz w:val="22"/>
          <w:szCs w:val="22"/>
        </w:rPr>
        <w:t xml:space="preserve">to determine whether hepatitis B vaccine </w:t>
      </w:r>
      <w:r w:rsidRPr="00E95079">
        <w:rPr>
          <w:b/>
          <w:i/>
          <w:sz w:val="22"/>
          <w:szCs w:val="22"/>
        </w:rPr>
        <w:t>can or cannot</w:t>
      </w:r>
      <w:r w:rsidRPr="00E95079">
        <w:rPr>
          <w:b/>
          <w:sz w:val="22"/>
          <w:szCs w:val="22"/>
        </w:rPr>
        <w:t xml:space="preserve"> cause serious brain and immune system dysfunction,</w:t>
      </w:r>
      <w:r>
        <w:rPr>
          <w:sz w:val="22"/>
          <w:szCs w:val="22"/>
        </w:rPr>
        <w:t xml:space="preserve"> including brain inflammation (encephalitis, ADEM) and encephalopathy; multiple sclerosis; optic neuritis; GBS; chronic inflammatory polyneuropathy; vasculitis; lupus; psoriatic, reactive or rheumatoid arthritis; Type 1 diabetes or fibromyalgia. </w:t>
      </w:r>
      <w:r w:rsidR="00A2313D">
        <w:rPr>
          <w:rStyle w:val="EndnoteReference"/>
          <w:sz w:val="22"/>
          <w:szCs w:val="22"/>
        </w:rPr>
        <w:endnoteReference w:id="15"/>
      </w:r>
      <w:r w:rsidR="00DF28BD">
        <w:rPr>
          <w:sz w:val="22"/>
          <w:szCs w:val="22"/>
        </w:rPr>
        <w:t xml:space="preserve"> </w:t>
      </w:r>
      <w:r>
        <w:rPr>
          <w:sz w:val="22"/>
          <w:szCs w:val="22"/>
        </w:rPr>
        <w:t xml:space="preserve">As of July 2011, there have been </w:t>
      </w:r>
      <w:r w:rsidR="009E6255">
        <w:rPr>
          <w:sz w:val="22"/>
          <w:szCs w:val="22"/>
        </w:rPr>
        <w:t xml:space="preserve">more than 50,000 </w:t>
      </w:r>
      <w:r w:rsidR="009E6255">
        <w:rPr>
          <w:sz w:val="22"/>
          <w:szCs w:val="22"/>
        </w:rPr>
        <w:lastRenderedPageBreak/>
        <w:t xml:space="preserve">reports to the government of health problems following </w:t>
      </w:r>
      <w:r w:rsidR="001C1CD1">
        <w:rPr>
          <w:sz w:val="22"/>
          <w:szCs w:val="22"/>
        </w:rPr>
        <w:t xml:space="preserve">receipt of </w:t>
      </w:r>
      <w:r w:rsidR="009E6255">
        <w:rPr>
          <w:sz w:val="22"/>
          <w:szCs w:val="22"/>
        </w:rPr>
        <w:t>hepatitis B containing vaccines, including more than 9,000 serious cases and 966 deaths.</w:t>
      </w:r>
      <w:r w:rsidR="00DF28BD">
        <w:rPr>
          <w:sz w:val="22"/>
          <w:szCs w:val="22"/>
        </w:rPr>
        <w:t xml:space="preserve"> </w:t>
      </w:r>
      <w:r w:rsidR="00DF28BD">
        <w:rPr>
          <w:rStyle w:val="EndnoteReference"/>
          <w:sz w:val="22"/>
          <w:szCs w:val="22"/>
        </w:rPr>
        <w:endnoteReference w:id="16"/>
      </w:r>
    </w:p>
    <w:p w:rsidR="004B4107" w:rsidRPr="00CA61B7" w:rsidRDefault="004B4107" w:rsidP="00A53D4D">
      <w:pPr>
        <w:pStyle w:val="ListParagraph"/>
        <w:numPr>
          <w:ilvl w:val="0"/>
          <w:numId w:val="1"/>
        </w:numPr>
        <w:rPr>
          <w:b/>
          <w:sz w:val="22"/>
          <w:szCs w:val="22"/>
        </w:rPr>
      </w:pPr>
      <w:r w:rsidRPr="00CA61B7">
        <w:rPr>
          <w:b/>
          <w:sz w:val="22"/>
          <w:szCs w:val="22"/>
        </w:rPr>
        <w:t>Vaccine manufacturers</w:t>
      </w:r>
      <w:r w:rsidR="002B57F7">
        <w:rPr>
          <w:b/>
          <w:sz w:val="22"/>
          <w:szCs w:val="22"/>
        </w:rPr>
        <w:t>, doctors and other</w:t>
      </w:r>
      <w:r w:rsidRPr="00CA61B7">
        <w:rPr>
          <w:b/>
          <w:sz w:val="22"/>
          <w:szCs w:val="22"/>
        </w:rPr>
        <w:t xml:space="preserve"> </w:t>
      </w:r>
      <w:r w:rsidR="00404B44">
        <w:rPr>
          <w:b/>
          <w:sz w:val="22"/>
          <w:szCs w:val="22"/>
        </w:rPr>
        <w:t xml:space="preserve">vaccine </w:t>
      </w:r>
      <w:r w:rsidR="00183B08">
        <w:rPr>
          <w:b/>
          <w:sz w:val="22"/>
          <w:szCs w:val="22"/>
        </w:rPr>
        <w:t>administrators</w:t>
      </w:r>
      <w:r w:rsidR="00404B44">
        <w:rPr>
          <w:b/>
          <w:sz w:val="22"/>
          <w:szCs w:val="22"/>
        </w:rPr>
        <w:t xml:space="preserve"> </w:t>
      </w:r>
      <w:r w:rsidRPr="00CA61B7">
        <w:rPr>
          <w:b/>
          <w:sz w:val="22"/>
          <w:szCs w:val="22"/>
        </w:rPr>
        <w:t xml:space="preserve">have </w:t>
      </w:r>
      <w:r w:rsidR="006E3617" w:rsidRPr="00CA61B7">
        <w:rPr>
          <w:b/>
          <w:sz w:val="22"/>
          <w:szCs w:val="22"/>
        </w:rPr>
        <w:t xml:space="preserve">no legal accountability or financial </w:t>
      </w:r>
      <w:r w:rsidRPr="00CA61B7">
        <w:rPr>
          <w:b/>
          <w:sz w:val="22"/>
          <w:szCs w:val="22"/>
        </w:rPr>
        <w:t xml:space="preserve">liability in civil court </w:t>
      </w:r>
      <w:r w:rsidR="006E3617" w:rsidRPr="00CA61B7">
        <w:rPr>
          <w:b/>
          <w:sz w:val="22"/>
          <w:szCs w:val="22"/>
        </w:rPr>
        <w:t xml:space="preserve">when a </w:t>
      </w:r>
      <w:r w:rsidR="00E941E7">
        <w:rPr>
          <w:b/>
          <w:sz w:val="22"/>
          <w:szCs w:val="22"/>
        </w:rPr>
        <w:t xml:space="preserve">government recommended or mandated </w:t>
      </w:r>
      <w:r w:rsidR="006E3617" w:rsidRPr="00CA61B7">
        <w:rPr>
          <w:b/>
          <w:sz w:val="22"/>
          <w:szCs w:val="22"/>
        </w:rPr>
        <w:t>vaccine</w:t>
      </w:r>
      <w:r w:rsidR="00D74BC2" w:rsidRPr="00CA61B7">
        <w:rPr>
          <w:b/>
          <w:sz w:val="22"/>
          <w:szCs w:val="22"/>
        </w:rPr>
        <w:t xml:space="preserve">(s) </w:t>
      </w:r>
      <w:r w:rsidR="002B57F7">
        <w:rPr>
          <w:b/>
          <w:sz w:val="22"/>
          <w:szCs w:val="22"/>
        </w:rPr>
        <w:t>causes</w:t>
      </w:r>
      <w:r w:rsidR="006E3617" w:rsidRPr="00CA61B7">
        <w:rPr>
          <w:b/>
          <w:sz w:val="22"/>
          <w:szCs w:val="22"/>
        </w:rPr>
        <w:t xml:space="preserve"> </w:t>
      </w:r>
      <w:r w:rsidR="00D5004C">
        <w:rPr>
          <w:b/>
          <w:sz w:val="22"/>
          <w:szCs w:val="22"/>
        </w:rPr>
        <w:t>permanent</w:t>
      </w:r>
      <w:r w:rsidR="00D74BC2" w:rsidRPr="00CA61B7">
        <w:rPr>
          <w:b/>
          <w:sz w:val="22"/>
          <w:szCs w:val="22"/>
        </w:rPr>
        <w:t xml:space="preserve"> </w:t>
      </w:r>
      <w:r w:rsidR="006E3617" w:rsidRPr="00CA61B7">
        <w:rPr>
          <w:b/>
          <w:sz w:val="22"/>
          <w:szCs w:val="22"/>
        </w:rPr>
        <w:t>injury or death;</w:t>
      </w:r>
      <w:r w:rsidR="009256A4">
        <w:rPr>
          <w:b/>
          <w:sz w:val="22"/>
          <w:szCs w:val="22"/>
        </w:rPr>
        <w:t xml:space="preserve"> </w:t>
      </w:r>
      <w:r w:rsidR="002B57F7">
        <w:rPr>
          <w:rStyle w:val="EndnoteReference"/>
          <w:b/>
          <w:sz w:val="22"/>
          <w:szCs w:val="22"/>
        </w:rPr>
        <w:endnoteReference w:id="17"/>
      </w:r>
      <w:r w:rsidR="00F4182B">
        <w:rPr>
          <w:b/>
          <w:sz w:val="22"/>
          <w:szCs w:val="22"/>
        </w:rPr>
        <w:t xml:space="preserve"> </w:t>
      </w:r>
      <w:r w:rsidR="009256A4">
        <w:rPr>
          <w:rStyle w:val="EndnoteReference"/>
          <w:b/>
          <w:sz w:val="22"/>
          <w:szCs w:val="22"/>
        </w:rPr>
        <w:endnoteReference w:id="18"/>
      </w:r>
      <w:r w:rsidR="00D4382B">
        <w:rPr>
          <w:b/>
          <w:sz w:val="22"/>
          <w:szCs w:val="22"/>
        </w:rPr>
        <w:t xml:space="preserve"> </w:t>
      </w:r>
      <w:r w:rsidR="00D4382B">
        <w:rPr>
          <w:rStyle w:val="EndnoteReference"/>
          <w:b/>
          <w:sz w:val="22"/>
          <w:szCs w:val="22"/>
        </w:rPr>
        <w:endnoteReference w:id="19"/>
      </w:r>
      <w:r w:rsidR="00C4655B">
        <w:rPr>
          <w:b/>
          <w:sz w:val="22"/>
          <w:szCs w:val="22"/>
        </w:rPr>
        <w:t xml:space="preserve"> </w:t>
      </w:r>
    </w:p>
    <w:p w:rsidR="006E3617" w:rsidRPr="006E3617" w:rsidRDefault="004B4107" w:rsidP="00A53D4D">
      <w:pPr>
        <w:pStyle w:val="ListParagraph"/>
        <w:numPr>
          <w:ilvl w:val="0"/>
          <w:numId w:val="1"/>
        </w:numPr>
        <w:rPr>
          <w:b/>
          <w:sz w:val="22"/>
          <w:szCs w:val="22"/>
        </w:rPr>
      </w:pPr>
      <w:r>
        <w:rPr>
          <w:sz w:val="22"/>
          <w:szCs w:val="22"/>
        </w:rPr>
        <w:t xml:space="preserve">The </w:t>
      </w:r>
      <w:r w:rsidR="00A2166A">
        <w:rPr>
          <w:sz w:val="22"/>
          <w:szCs w:val="22"/>
        </w:rPr>
        <w:t xml:space="preserve">U.S. </w:t>
      </w:r>
      <w:r>
        <w:rPr>
          <w:sz w:val="22"/>
          <w:szCs w:val="22"/>
        </w:rPr>
        <w:t xml:space="preserve">federal </w:t>
      </w:r>
      <w:r w:rsidR="00A2166A">
        <w:rPr>
          <w:sz w:val="22"/>
          <w:szCs w:val="22"/>
        </w:rPr>
        <w:t>V</w:t>
      </w:r>
      <w:r>
        <w:rPr>
          <w:sz w:val="22"/>
          <w:szCs w:val="22"/>
        </w:rPr>
        <w:t xml:space="preserve">accine </w:t>
      </w:r>
      <w:r w:rsidR="00A2166A">
        <w:rPr>
          <w:sz w:val="22"/>
          <w:szCs w:val="22"/>
        </w:rPr>
        <w:t>I</w:t>
      </w:r>
      <w:r>
        <w:rPr>
          <w:sz w:val="22"/>
          <w:szCs w:val="22"/>
        </w:rPr>
        <w:t xml:space="preserve">njury </w:t>
      </w:r>
      <w:r w:rsidR="00A2166A">
        <w:rPr>
          <w:sz w:val="22"/>
          <w:szCs w:val="22"/>
        </w:rPr>
        <w:t>C</w:t>
      </w:r>
      <w:r>
        <w:rPr>
          <w:sz w:val="22"/>
          <w:szCs w:val="22"/>
        </w:rPr>
        <w:t xml:space="preserve">ompensation </w:t>
      </w:r>
      <w:r w:rsidR="00A2166A">
        <w:rPr>
          <w:sz w:val="22"/>
          <w:szCs w:val="22"/>
        </w:rPr>
        <w:t>P</w:t>
      </w:r>
      <w:r>
        <w:rPr>
          <w:sz w:val="22"/>
          <w:szCs w:val="22"/>
        </w:rPr>
        <w:t xml:space="preserve">rogram has awarded </w:t>
      </w:r>
      <w:r w:rsidR="00B96B7F">
        <w:rPr>
          <w:sz w:val="22"/>
          <w:szCs w:val="22"/>
        </w:rPr>
        <w:t xml:space="preserve">more than </w:t>
      </w:r>
      <w:r>
        <w:rPr>
          <w:sz w:val="22"/>
          <w:szCs w:val="22"/>
        </w:rPr>
        <w:t xml:space="preserve">$2 billion to vaccine victims since 1988 but </w:t>
      </w:r>
      <w:r w:rsidR="00CA61B7">
        <w:rPr>
          <w:sz w:val="22"/>
          <w:szCs w:val="22"/>
        </w:rPr>
        <w:t xml:space="preserve">two out of three </w:t>
      </w:r>
      <w:r>
        <w:rPr>
          <w:sz w:val="22"/>
          <w:szCs w:val="22"/>
        </w:rPr>
        <w:t xml:space="preserve">vaccine </w:t>
      </w:r>
      <w:r w:rsidR="00CA61B7">
        <w:rPr>
          <w:sz w:val="22"/>
          <w:szCs w:val="22"/>
        </w:rPr>
        <w:t xml:space="preserve">injured plaintiff’s are turned away without </w:t>
      </w:r>
      <w:r w:rsidR="00A2166A">
        <w:rPr>
          <w:sz w:val="22"/>
          <w:szCs w:val="22"/>
        </w:rPr>
        <w:t>financial support.</w:t>
      </w:r>
      <w:r w:rsidR="00C4655B">
        <w:rPr>
          <w:sz w:val="22"/>
          <w:szCs w:val="22"/>
        </w:rPr>
        <w:t xml:space="preserve"> </w:t>
      </w:r>
      <w:r w:rsidR="00C4655B">
        <w:rPr>
          <w:rStyle w:val="EndnoteReference"/>
          <w:sz w:val="22"/>
          <w:szCs w:val="22"/>
        </w:rPr>
        <w:endnoteReference w:id="20"/>
      </w:r>
    </w:p>
    <w:p w:rsidR="006E3617" w:rsidRDefault="006E3617" w:rsidP="006E3617">
      <w:pPr>
        <w:rPr>
          <w:b/>
        </w:rPr>
      </w:pPr>
    </w:p>
    <w:p w:rsidR="006E3617" w:rsidRPr="006E3617" w:rsidRDefault="006E3617" w:rsidP="006E3617">
      <w:pPr>
        <w:rPr>
          <w:b/>
        </w:rPr>
      </w:pPr>
      <w:r>
        <w:rPr>
          <w:b/>
        </w:rPr>
        <w:t>Informed Consent</w:t>
      </w:r>
      <w:r w:rsidR="00CA61B7">
        <w:rPr>
          <w:b/>
        </w:rPr>
        <w:t xml:space="preserve"> &amp; Parental Responsibility</w:t>
      </w:r>
      <w:r>
        <w:rPr>
          <w:b/>
        </w:rPr>
        <w:t>:</w:t>
      </w:r>
    </w:p>
    <w:p w:rsidR="006E3617" w:rsidRPr="006E3617" w:rsidRDefault="006E3617" w:rsidP="006E3617">
      <w:pPr>
        <w:rPr>
          <w:b/>
          <w:sz w:val="22"/>
          <w:szCs w:val="22"/>
        </w:rPr>
      </w:pPr>
    </w:p>
    <w:p w:rsidR="006E3617" w:rsidRPr="00E95079" w:rsidRDefault="006E3617" w:rsidP="00A53D4D">
      <w:pPr>
        <w:pStyle w:val="ListParagraph"/>
        <w:numPr>
          <w:ilvl w:val="0"/>
          <w:numId w:val="1"/>
        </w:numPr>
        <w:rPr>
          <w:b/>
          <w:sz w:val="22"/>
          <w:szCs w:val="22"/>
        </w:rPr>
      </w:pPr>
      <w:r w:rsidRPr="00E95079">
        <w:rPr>
          <w:sz w:val="22"/>
          <w:szCs w:val="22"/>
        </w:rPr>
        <w:t xml:space="preserve">Informed consent to medical risk taking is a human right </w:t>
      </w:r>
      <w:r w:rsidR="00A5063B">
        <w:rPr>
          <w:rStyle w:val="EndnoteReference"/>
          <w:sz w:val="22"/>
          <w:szCs w:val="22"/>
        </w:rPr>
        <w:endnoteReference w:id="21"/>
      </w:r>
      <w:r w:rsidR="00697FAE">
        <w:rPr>
          <w:sz w:val="22"/>
          <w:szCs w:val="22"/>
        </w:rPr>
        <w:t xml:space="preserve"> </w:t>
      </w:r>
      <w:r w:rsidRPr="00E95079">
        <w:rPr>
          <w:sz w:val="22"/>
          <w:szCs w:val="22"/>
        </w:rPr>
        <w:t xml:space="preserve">and is the central ethical principle in the ethical </w:t>
      </w:r>
      <w:r w:rsidR="00952167">
        <w:rPr>
          <w:sz w:val="22"/>
          <w:szCs w:val="22"/>
        </w:rPr>
        <w:t xml:space="preserve">and legal </w:t>
      </w:r>
      <w:r w:rsidRPr="00E95079">
        <w:rPr>
          <w:sz w:val="22"/>
          <w:szCs w:val="22"/>
        </w:rPr>
        <w:t xml:space="preserve">practice of modern medicine; </w:t>
      </w:r>
      <w:r w:rsidR="00E001E1">
        <w:rPr>
          <w:rStyle w:val="EndnoteReference"/>
          <w:sz w:val="22"/>
          <w:szCs w:val="22"/>
        </w:rPr>
        <w:endnoteReference w:id="22"/>
      </w:r>
      <w:r w:rsidR="00FC6414">
        <w:rPr>
          <w:sz w:val="22"/>
          <w:szCs w:val="22"/>
        </w:rPr>
        <w:t xml:space="preserve"> </w:t>
      </w:r>
      <w:r w:rsidR="00697FAE">
        <w:rPr>
          <w:rStyle w:val="EndnoteReference"/>
          <w:sz w:val="22"/>
          <w:szCs w:val="22"/>
        </w:rPr>
        <w:endnoteReference w:id="23"/>
      </w:r>
      <w:r w:rsidR="009243FF">
        <w:rPr>
          <w:sz w:val="22"/>
          <w:szCs w:val="22"/>
        </w:rPr>
        <w:t xml:space="preserve"> </w:t>
      </w:r>
      <w:r w:rsidR="00FC6414">
        <w:rPr>
          <w:rStyle w:val="EndnoteReference"/>
          <w:sz w:val="22"/>
          <w:szCs w:val="22"/>
        </w:rPr>
        <w:endnoteReference w:id="24"/>
      </w:r>
    </w:p>
    <w:p w:rsidR="00294297" w:rsidRPr="00E95079" w:rsidRDefault="00294297" w:rsidP="00CA61B7">
      <w:pPr>
        <w:pStyle w:val="ListParagraph"/>
        <w:numPr>
          <w:ilvl w:val="0"/>
          <w:numId w:val="1"/>
        </w:numPr>
        <w:rPr>
          <w:sz w:val="22"/>
          <w:szCs w:val="22"/>
        </w:rPr>
      </w:pPr>
      <w:r w:rsidRPr="00E95079">
        <w:rPr>
          <w:sz w:val="22"/>
          <w:szCs w:val="22"/>
        </w:rPr>
        <w:t>There is scientific evidence that the physical, mental and emotional development of children, including pre-adolescent</w:t>
      </w:r>
      <w:r w:rsidR="00D2075F" w:rsidRPr="00E95079">
        <w:rPr>
          <w:sz w:val="22"/>
          <w:szCs w:val="22"/>
        </w:rPr>
        <w:t>s,</w:t>
      </w:r>
      <w:r w:rsidRPr="00E95079">
        <w:rPr>
          <w:sz w:val="22"/>
          <w:szCs w:val="22"/>
        </w:rPr>
        <w:t xml:space="preserve"> </w:t>
      </w:r>
      <w:r w:rsidR="00CA61B7" w:rsidRPr="00E95079">
        <w:rPr>
          <w:sz w:val="22"/>
          <w:szCs w:val="22"/>
        </w:rPr>
        <w:t xml:space="preserve">varies and </w:t>
      </w:r>
      <w:r w:rsidRPr="00E95079">
        <w:rPr>
          <w:sz w:val="22"/>
          <w:szCs w:val="22"/>
        </w:rPr>
        <w:t xml:space="preserve">is </w:t>
      </w:r>
      <w:r w:rsidR="00B96B7F">
        <w:rPr>
          <w:sz w:val="22"/>
          <w:szCs w:val="22"/>
        </w:rPr>
        <w:t xml:space="preserve">often </w:t>
      </w:r>
      <w:r w:rsidRPr="00E95079">
        <w:rPr>
          <w:sz w:val="22"/>
          <w:szCs w:val="22"/>
        </w:rPr>
        <w:t>not sufficient</w:t>
      </w:r>
      <w:r w:rsidR="00CA61B7" w:rsidRPr="00E95079">
        <w:rPr>
          <w:sz w:val="22"/>
          <w:szCs w:val="22"/>
        </w:rPr>
        <w:t xml:space="preserve"> </w:t>
      </w:r>
      <w:r w:rsidR="00B96B7F">
        <w:rPr>
          <w:sz w:val="22"/>
          <w:szCs w:val="22"/>
        </w:rPr>
        <w:t>t</w:t>
      </w:r>
      <w:r w:rsidRPr="00E95079">
        <w:rPr>
          <w:sz w:val="22"/>
          <w:szCs w:val="22"/>
        </w:rPr>
        <w:t xml:space="preserve">o </w:t>
      </w:r>
      <w:r w:rsidR="00A2166A" w:rsidRPr="00E95079">
        <w:rPr>
          <w:sz w:val="22"/>
          <w:szCs w:val="22"/>
        </w:rPr>
        <w:t>enable</w:t>
      </w:r>
      <w:r w:rsidRPr="00E95079">
        <w:rPr>
          <w:sz w:val="22"/>
          <w:szCs w:val="22"/>
        </w:rPr>
        <w:t xml:space="preserve"> </w:t>
      </w:r>
      <w:r w:rsidR="00CA61B7" w:rsidRPr="00E95079">
        <w:rPr>
          <w:sz w:val="22"/>
          <w:szCs w:val="22"/>
        </w:rPr>
        <w:t xml:space="preserve">children </w:t>
      </w:r>
      <w:r w:rsidRPr="00E95079">
        <w:rPr>
          <w:sz w:val="22"/>
          <w:szCs w:val="22"/>
        </w:rPr>
        <w:t xml:space="preserve">to make well reasoned decisions </w:t>
      </w:r>
      <w:r w:rsidR="00CA61B7" w:rsidRPr="00E95079">
        <w:rPr>
          <w:sz w:val="22"/>
          <w:szCs w:val="22"/>
        </w:rPr>
        <w:t>about risk taking involving their</w:t>
      </w:r>
      <w:r w:rsidRPr="00E95079">
        <w:rPr>
          <w:sz w:val="22"/>
          <w:szCs w:val="22"/>
        </w:rPr>
        <w:t xml:space="preserve"> health and well being.</w:t>
      </w:r>
      <w:r w:rsidR="00C86E89">
        <w:rPr>
          <w:sz w:val="22"/>
          <w:szCs w:val="22"/>
        </w:rPr>
        <w:t xml:space="preserve"> </w:t>
      </w:r>
      <w:r w:rsidR="00C86E89">
        <w:rPr>
          <w:rStyle w:val="EndnoteReference"/>
          <w:sz w:val="22"/>
          <w:szCs w:val="22"/>
        </w:rPr>
        <w:endnoteReference w:id="25"/>
      </w:r>
      <w:r w:rsidR="00DE3BB1">
        <w:rPr>
          <w:sz w:val="22"/>
          <w:szCs w:val="22"/>
        </w:rPr>
        <w:t xml:space="preserve"> </w:t>
      </w:r>
      <w:r w:rsidR="00DE3BB1">
        <w:rPr>
          <w:rStyle w:val="EndnoteReference"/>
          <w:sz w:val="22"/>
          <w:szCs w:val="22"/>
        </w:rPr>
        <w:endnoteReference w:id="26"/>
      </w:r>
      <w:r w:rsidR="000E4F05">
        <w:rPr>
          <w:sz w:val="22"/>
          <w:szCs w:val="22"/>
        </w:rPr>
        <w:t xml:space="preserve"> </w:t>
      </w:r>
      <w:r w:rsidR="000E4F05">
        <w:rPr>
          <w:rStyle w:val="EndnoteReference"/>
          <w:sz w:val="22"/>
          <w:szCs w:val="22"/>
        </w:rPr>
        <w:endnoteReference w:id="27"/>
      </w:r>
    </w:p>
    <w:p w:rsidR="00CA61B7" w:rsidRPr="00E95079" w:rsidRDefault="001A57A6" w:rsidP="00CA61B7">
      <w:pPr>
        <w:pStyle w:val="ListParagraph"/>
        <w:numPr>
          <w:ilvl w:val="0"/>
          <w:numId w:val="1"/>
        </w:numPr>
        <w:rPr>
          <w:b/>
          <w:sz w:val="22"/>
          <w:szCs w:val="22"/>
        </w:rPr>
      </w:pPr>
      <w:r w:rsidRPr="00E95079">
        <w:rPr>
          <w:b/>
          <w:sz w:val="22"/>
          <w:szCs w:val="22"/>
        </w:rPr>
        <w:t>A</w:t>
      </w:r>
      <w:r w:rsidR="00CA61B7" w:rsidRPr="00E95079">
        <w:rPr>
          <w:b/>
          <w:sz w:val="22"/>
          <w:szCs w:val="22"/>
        </w:rPr>
        <w:t xml:space="preserve"> substantial body of U.S. law </w:t>
      </w:r>
      <w:r w:rsidR="00A2166A" w:rsidRPr="00E95079">
        <w:rPr>
          <w:b/>
          <w:sz w:val="22"/>
          <w:szCs w:val="22"/>
        </w:rPr>
        <w:t>affirm</w:t>
      </w:r>
      <w:r w:rsidRPr="00E95079">
        <w:rPr>
          <w:b/>
          <w:sz w:val="22"/>
          <w:szCs w:val="22"/>
        </w:rPr>
        <w:t>s</w:t>
      </w:r>
      <w:r w:rsidR="00CA61B7" w:rsidRPr="00E95079">
        <w:rPr>
          <w:b/>
          <w:sz w:val="22"/>
          <w:szCs w:val="22"/>
        </w:rPr>
        <w:t xml:space="preserve"> the </w:t>
      </w:r>
      <w:r w:rsidR="00D36F2D">
        <w:rPr>
          <w:b/>
          <w:sz w:val="22"/>
          <w:szCs w:val="22"/>
        </w:rPr>
        <w:t xml:space="preserve">fundamental, </w:t>
      </w:r>
      <w:r w:rsidR="00CA61B7" w:rsidRPr="00E95079">
        <w:rPr>
          <w:b/>
          <w:sz w:val="22"/>
          <w:szCs w:val="22"/>
        </w:rPr>
        <w:t>legal right for parents to make medical</w:t>
      </w:r>
      <w:r w:rsidR="00B47F74">
        <w:rPr>
          <w:b/>
          <w:sz w:val="22"/>
          <w:szCs w:val="22"/>
        </w:rPr>
        <w:t>, educational</w:t>
      </w:r>
      <w:r w:rsidR="00CA61B7" w:rsidRPr="00E95079">
        <w:rPr>
          <w:b/>
          <w:sz w:val="22"/>
          <w:szCs w:val="22"/>
        </w:rPr>
        <w:t xml:space="preserve"> </w:t>
      </w:r>
      <w:r w:rsidR="00D36F2D">
        <w:rPr>
          <w:b/>
          <w:sz w:val="22"/>
          <w:szCs w:val="22"/>
        </w:rPr>
        <w:t xml:space="preserve">and other important </w:t>
      </w:r>
      <w:r w:rsidR="00B47F74">
        <w:rPr>
          <w:b/>
          <w:sz w:val="22"/>
          <w:szCs w:val="22"/>
        </w:rPr>
        <w:t xml:space="preserve">welfare </w:t>
      </w:r>
      <w:r w:rsidR="00CA61B7" w:rsidRPr="00E95079">
        <w:rPr>
          <w:b/>
          <w:sz w:val="22"/>
          <w:szCs w:val="22"/>
        </w:rPr>
        <w:t xml:space="preserve">decisions </w:t>
      </w:r>
      <w:r w:rsidR="00A2166A" w:rsidRPr="00E95079">
        <w:rPr>
          <w:b/>
          <w:sz w:val="22"/>
          <w:szCs w:val="22"/>
        </w:rPr>
        <w:t>for their minor children;</w:t>
      </w:r>
      <w:r w:rsidR="00D706AB">
        <w:rPr>
          <w:b/>
          <w:sz w:val="22"/>
          <w:szCs w:val="22"/>
        </w:rPr>
        <w:t xml:space="preserve"> </w:t>
      </w:r>
      <w:r w:rsidR="00D706AB">
        <w:rPr>
          <w:rStyle w:val="EndnoteReference"/>
          <w:b/>
          <w:sz w:val="22"/>
          <w:szCs w:val="22"/>
        </w:rPr>
        <w:endnoteReference w:id="28"/>
      </w:r>
    </w:p>
    <w:p w:rsidR="00A406F0" w:rsidRPr="00E95079" w:rsidRDefault="009D7A19" w:rsidP="00CA61B7">
      <w:pPr>
        <w:pStyle w:val="ListParagraph"/>
        <w:numPr>
          <w:ilvl w:val="0"/>
          <w:numId w:val="1"/>
        </w:numPr>
        <w:rPr>
          <w:sz w:val="22"/>
          <w:szCs w:val="22"/>
        </w:rPr>
      </w:pPr>
      <w:r>
        <w:rPr>
          <w:sz w:val="22"/>
          <w:szCs w:val="22"/>
        </w:rPr>
        <w:t xml:space="preserve">Parents </w:t>
      </w:r>
      <w:r w:rsidR="00A406F0" w:rsidRPr="00E95079">
        <w:rPr>
          <w:sz w:val="22"/>
          <w:szCs w:val="22"/>
        </w:rPr>
        <w:t xml:space="preserve">are legally and financially responsible for the health care and education of </w:t>
      </w:r>
      <w:r w:rsidR="00A2166A" w:rsidRPr="00E95079">
        <w:rPr>
          <w:sz w:val="22"/>
          <w:szCs w:val="22"/>
        </w:rPr>
        <w:t>th</w:t>
      </w:r>
      <w:r>
        <w:rPr>
          <w:sz w:val="22"/>
          <w:szCs w:val="22"/>
        </w:rPr>
        <w:t xml:space="preserve">eir children and, therefore, </w:t>
      </w:r>
      <w:r w:rsidR="00A406F0" w:rsidRPr="00E95079">
        <w:rPr>
          <w:sz w:val="22"/>
          <w:szCs w:val="22"/>
        </w:rPr>
        <w:t xml:space="preserve">parents </w:t>
      </w:r>
      <w:r>
        <w:rPr>
          <w:sz w:val="22"/>
          <w:szCs w:val="22"/>
        </w:rPr>
        <w:t>must</w:t>
      </w:r>
      <w:r w:rsidR="00A406F0" w:rsidRPr="00E95079">
        <w:rPr>
          <w:sz w:val="22"/>
          <w:szCs w:val="22"/>
        </w:rPr>
        <w:t xml:space="preserve"> retain the legal right to give informed consent to vaccination of the child.</w:t>
      </w:r>
    </w:p>
    <w:p w:rsidR="00A406F0" w:rsidRPr="00A406F0" w:rsidRDefault="00A406F0" w:rsidP="00A406F0">
      <w:pPr>
        <w:rPr>
          <w:sz w:val="22"/>
          <w:szCs w:val="22"/>
        </w:rPr>
      </w:pPr>
    </w:p>
    <w:p w:rsidR="0040185F" w:rsidRDefault="007F17FA" w:rsidP="00CA3331">
      <w:pPr>
        <w:rPr>
          <w:b/>
        </w:rPr>
      </w:pPr>
      <w:r>
        <w:rPr>
          <w:b/>
        </w:rPr>
        <w:t xml:space="preserve">Increased </w:t>
      </w:r>
      <w:r w:rsidR="0040185F">
        <w:rPr>
          <w:b/>
        </w:rPr>
        <w:t xml:space="preserve">Health Care </w:t>
      </w:r>
      <w:r w:rsidR="00AE3611">
        <w:rPr>
          <w:b/>
        </w:rPr>
        <w:t xml:space="preserve">and Legal </w:t>
      </w:r>
      <w:r w:rsidR="0040185F">
        <w:rPr>
          <w:b/>
        </w:rPr>
        <w:t>Costs:</w:t>
      </w:r>
    </w:p>
    <w:p w:rsidR="00C55BBE" w:rsidRDefault="00C55BBE" w:rsidP="00CA3331">
      <w:pPr>
        <w:rPr>
          <w:b/>
        </w:rPr>
      </w:pPr>
    </w:p>
    <w:p w:rsidR="00E14D64" w:rsidRDefault="00C55BBE" w:rsidP="00C55BBE">
      <w:pPr>
        <w:ind w:left="360"/>
        <w:rPr>
          <w:sz w:val="22"/>
          <w:szCs w:val="22"/>
        </w:rPr>
      </w:pPr>
      <w:r>
        <w:rPr>
          <w:sz w:val="22"/>
          <w:szCs w:val="22"/>
        </w:rPr>
        <w:t>I</w:t>
      </w:r>
      <w:r w:rsidR="00D5004C" w:rsidRPr="00C55BBE">
        <w:rPr>
          <w:sz w:val="22"/>
          <w:szCs w:val="22"/>
        </w:rPr>
        <w:t xml:space="preserve">n California, there is </w:t>
      </w:r>
      <w:r w:rsidR="00A77379" w:rsidRPr="00C55BBE">
        <w:rPr>
          <w:sz w:val="22"/>
          <w:szCs w:val="22"/>
        </w:rPr>
        <w:t xml:space="preserve">legislation </w:t>
      </w:r>
      <w:r w:rsidR="00E2465B" w:rsidRPr="00C55BBE">
        <w:rPr>
          <w:sz w:val="22"/>
          <w:szCs w:val="22"/>
        </w:rPr>
        <w:t>a</w:t>
      </w:r>
      <w:r w:rsidR="00D5004C" w:rsidRPr="00C55BBE">
        <w:rPr>
          <w:sz w:val="22"/>
          <w:szCs w:val="22"/>
        </w:rPr>
        <w:t xml:space="preserve">waiting Governor Jerry Brown’s signature that will allow </w:t>
      </w:r>
      <w:r w:rsidR="001F2563" w:rsidRPr="00C55BBE">
        <w:rPr>
          <w:sz w:val="22"/>
          <w:szCs w:val="22"/>
        </w:rPr>
        <w:t>minor children to receive vaccines for sexually transmitted diseases, such as HPV (Gardasil)</w:t>
      </w:r>
      <w:r w:rsidR="00E95079" w:rsidRPr="00C55BBE">
        <w:rPr>
          <w:sz w:val="22"/>
          <w:szCs w:val="22"/>
        </w:rPr>
        <w:t xml:space="preserve"> and hepatitis B</w:t>
      </w:r>
      <w:r w:rsidR="001F2563" w:rsidRPr="00C55BBE">
        <w:rPr>
          <w:sz w:val="22"/>
          <w:szCs w:val="22"/>
        </w:rPr>
        <w:t>, without the informed consent of their parents.</w:t>
      </w:r>
      <w:r w:rsidR="008032F4">
        <w:rPr>
          <w:sz w:val="22"/>
          <w:szCs w:val="22"/>
        </w:rPr>
        <w:t xml:space="preserve"> </w:t>
      </w:r>
      <w:r w:rsidR="008032F4">
        <w:rPr>
          <w:rStyle w:val="EndnoteReference"/>
          <w:sz w:val="22"/>
          <w:szCs w:val="22"/>
        </w:rPr>
        <w:endnoteReference w:id="29"/>
      </w:r>
      <w:r w:rsidR="001F2563" w:rsidRPr="00C55BBE">
        <w:rPr>
          <w:sz w:val="22"/>
          <w:szCs w:val="22"/>
        </w:rPr>
        <w:t xml:space="preserve"> </w:t>
      </w:r>
      <w:r w:rsidR="008032F4">
        <w:rPr>
          <w:sz w:val="22"/>
          <w:szCs w:val="22"/>
        </w:rPr>
        <w:t xml:space="preserve"> </w:t>
      </w:r>
      <w:r w:rsidR="009014A9">
        <w:rPr>
          <w:sz w:val="22"/>
          <w:szCs w:val="22"/>
        </w:rPr>
        <w:t>If this legislation becomes law:</w:t>
      </w:r>
    </w:p>
    <w:p w:rsidR="00C55BBE" w:rsidRPr="00C55BBE" w:rsidRDefault="00C55BBE" w:rsidP="00C55BBE">
      <w:pPr>
        <w:ind w:left="360"/>
        <w:rPr>
          <w:b/>
          <w:sz w:val="22"/>
          <w:szCs w:val="22"/>
        </w:rPr>
      </w:pPr>
    </w:p>
    <w:p w:rsidR="00E14D64" w:rsidRPr="00E14D64" w:rsidRDefault="009B6B99" w:rsidP="00A2166A">
      <w:pPr>
        <w:pStyle w:val="ListParagraph"/>
        <w:numPr>
          <w:ilvl w:val="0"/>
          <w:numId w:val="2"/>
        </w:numPr>
        <w:rPr>
          <w:b/>
          <w:sz w:val="22"/>
          <w:szCs w:val="22"/>
        </w:rPr>
      </w:pPr>
      <w:r>
        <w:rPr>
          <w:sz w:val="22"/>
          <w:szCs w:val="22"/>
        </w:rPr>
        <w:t xml:space="preserve">California taxpayers </w:t>
      </w:r>
      <w:r w:rsidR="009014A9">
        <w:rPr>
          <w:sz w:val="22"/>
          <w:szCs w:val="22"/>
        </w:rPr>
        <w:t>will pay for state pu</w:t>
      </w:r>
      <w:r>
        <w:rPr>
          <w:sz w:val="22"/>
          <w:szCs w:val="22"/>
        </w:rPr>
        <w:t xml:space="preserve">rchase of </w:t>
      </w:r>
      <w:r w:rsidR="007F17FA">
        <w:rPr>
          <w:sz w:val="22"/>
          <w:szCs w:val="22"/>
        </w:rPr>
        <w:t>Gardasil</w:t>
      </w:r>
      <w:r>
        <w:rPr>
          <w:sz w:val="22"/>
          <w:szCs w:val="22"/>
        </w:rPr>
        <w:t xml:space="preserve"> vaccine from Merck at </w:t>
      </w:r>
      <w:r w:rsidR="001F2563">
        <w:rPr>
          <w:sz w:val="22"/>
          <w:szCs w:val="22"/>
        </w:rPr>
        <w:t>$</w:t>
      </w:r>
      <w:r w:rsidR="00987A96">
        <w:rPr>
          <w:sz w:val="22"/>
          <w:szCs w:val="22"/>
        </w:rPr>
        <w:t>108</w:t>
      </w:r>
      <w:r w:rsidR="00FE7E29">
        <w:rPr>
          <w:sz w:val="22"/>
          <w:szCs w:val="22"/>
        </w:rPr>
        <w:t xml:space="preserve"> </w:t>
      </w:r>
      <w:r w:rsidR="001F2563">
        <w:rPr>
          <w:sz w:val="22"/>
          <w:szCs w:val="22"/>
        </w:rPr>
        <w:t>per dose</w:t>
      </w:r>
      <w:r w:rsidR="009718C8">
        <w:rPr>
          <w:sz w:val="22"/>
          <w:szCs w:val="22"/>
        </w:rPr>
        <w:t xml:space="preserve"> </w:t>
      </w:r>
      <w:r w:rsidR="009718C8">
        <w:rPr>
          <w:rStyle w:val="EndnoteReference"/>
          <w:sz w:val="22"/>
          <w:szCs w:val="22"/>
        </w:rPr>
        <w:endnoteReference w:id="30"/>
      </w:r>
      <w:r w:rsidR="002339BC">
        <w:rPr>
          <w:sz w:val="22"/>
          <w:szCs w:val="22"/>
        </w:rPr>
        <w:t xml:space="preserve"> or </w:t>
      </w:r>
      <w:r w:rsidR="002339BC" w:rsidRPr="00C55BBE">
        <w:rPr>
          <w:b/>
          <w:sz w:val="22"/>
          <w:szCs w:val="22"/>
        </w:rPr>
        <w:t>$</w:t>
      </w:r>
      <w:r w:rsidR="00987A96">
        <w:rPr>
          <w:b/>
          <w:sz w:val="22"/>
          <w:szCs w:val="22"/>
        </w:rPr>
        <w:t>324</w:t>
      </w:r>
      <w:r w:rsidR="002339BC" w:rsidRPr="00C55BBE">
        <w:rPr>
          <w:b/>
          <w:sz w:val="22"/>
          <w:szCs w:val="22"/>
        </w:rPr>
        <w:t xml:space="preserve"> </w:t>
      </w:r>
      <w:r w:rsidR="00E95079" w:rsidRPr="00C55BBE">
        <w:rPr>
          <w:b/>
          <w:sz w:val="22"/>
          <w:szCs w:val="22"/>
        </w:rPr>
        <w:t xml:space="preserve">for every </w:t>
      </w:r>
      <w:r w:rsidR="00C55BBE" w:rsidRPr="00C55BBE">
        <w:rPr>
          <w:b/>
          <w:sz w:val="22"/>
          <w:szCs w:val="22"/>
        </w:rPr>
        <w:t>12-year old</w:t>
      </w:r>
      <w:r w:rsidR="00E95079" w:rsidRPr="00C55BBE">
        <w:rPr>
          <w:b/>
          <w:sz w:val="22"/>
          <w:szCs w:val="22"/>
        </w:rPr>
        <w:t xml:space="preserve"> </w:t>
      </w:r>
      <w:r w:rsidR="002339BC" w:rsidRPr="00C55BBE">
        <w:rPr>
          <w:b/>
          <w:sz w:val="22"/>
          <w:szCs w:val="22"/>
        </w:rPr>
        <w:t>child</w:t>
      </w:r>
      <w:r w:rsidR="00E95079">
        <w:rPr>
          <w:sz w:val="22"/>
          <w:szCs w:val="22"/>
        </w:rPr>
        <w:t xml:space="preserve"> </w:t>
      </w:r>
      <w:r w:rsidR="00C55BBE" w:rsidRPr="00C55BBE">
        <w:rPr>
          <w:i/>
          <w:sz w:val="22"/>
          <w:szCs w:val="22"/>
        </w:rPr>
        <w:t>plus</w:t>
      </w:r>
      <w:r w:rsidR="00C55BBE">
        <w:rPr>
          <w:sz w:val="22"/>
          <w:szCs w:val="22"/>
        </w:rPr>
        <w:t xml:space="preserve"> vaccine delivery and </w:t>
      </w:r>
      <w:r w:rsidR="001F2563">
        <w:rPr>
          <w:sz w:val="22"/>
          <w:szCs w:val="22"/>
        </w:rPr>
        <w:t xml:space="preserve">administration costs. </w:t>
      </w:r>
    </w:p>
    <w:p w:rsidR="00AE3611" w:rsidRPr="004200C7" w:rsidRDefault="004200C7" w:rsidP="00E14D64">
      <w:pPr>
        <w:pStyle w:val="ListParagraph"/>
        <w:numPr>
          <w:ilvl w:val="0"/>
          <w:numId w:val="2"/>
        </w:numPr>
        <w:rPr>
          <w:sz w:val="22"/>
          <w:szCs w:val="22"/>
        </w:rPr>
      </w:pPr>
      <w:r w:rsidRPr="004200C7">
        <w:rPr>
          <w:b/>
          <w:sz w:val="22"/>
          <w:szCs w:val="22"/>
        </w:rPr>
        <w:t xml:space="preserve">Total costs </w:t>
      </w:r>
      <w:r w:rsidR="009014A9">
        <w:rPr>
          <w:b/>
          <w:sz w:val="22"/>
          <w:szCs w:val="22"/>
        </w:rPr>
        <w:t>will be in the multi</w:t>
      </w:r>
      <w:r w:rsidR="00E95079" w:rsidRPr="00E14D64">
        <w:rPr>
          <w:b/>
          <w:sz w:val="22"/>
          <w:szCs w:val="22"/>
        </w:rPr>
        <w:t>-millions</w:t>
      </w:r>
      <w:r w:rsidR="009014A9">
        <w:rPr>
          <w:b/>
          <w:sz w:val="22"/>
          <w:szCs w:val="22"/>
        </w:rPr>
        <w:t xml:space="preserve">, </w:t>
      </w:r>
      <w:r w:rsidR="009014A9">
        <w:rPr>
          <w:sz w:val="22"/>
          <w:szCs w:val="22"/>
        </w:rPr>
        <w:t xml:space="preserve">especially when money is spent for </w:t>
      </w:r>
      <w:r w:rsidR="00E95079" w:rsidRPr="004200C7">
        <w:rPr>
          <w:sz w:val="22"/>
          <w:szCs w:val="22"/>
        </w:rPr>
        <w:t xml:space="preserve">state funded special education and health services </w:t>
      </w:r>
      <w:r w:rsidR="005A2D8B" w:rsidRPr="004200C7">
        <w:rPr>
          <w:sz w:val="22"/>
          <w:szCs w:val="22"/>
        </w:rPr>
        <w:t xml:space="preserve">for vaccine injured children, who </w:t>
      </w:r>
      <w:r w:rsidR="00681236" w:rsidRPr="004200C7">
        <w:rPr>
          <w:sz w:val="22"/>
          <w:szCs w:val="22"/>
        </w:rPr>
        <w:t xml:space="preserve">are without health insurance and do not </w:t>
      </w:r>
      <w:r w:rsidR="005A2D8B" w:rsidRPr="004200C7">
        <w:rPr>
          <w:sz w:val="22"/>
          <w:szCs w:val="22"/>
        </w:rPr>
        <w:t xml:space="preserve">receive federal </w:t>
      </w:r>
      <w:r w:rsidR="00681236" w:rsidRPr="004200C7">
        <w:rPr>
          <w:sz w:val="22"/>
          <w:szCs w:val="22"/>
        </w:rPr>
        <w:t xml:space="preserve">vaccine injury </w:t>
      </w:r>
      <w:r w:rsidR="005A2D8B" w:rsidRPr="004200C7">
        <w:rPr>
          <w:sz w:val="22"/>
          <w:szCs w:val="22"/>
        </w:rPr>
        <w:t>compensation.</w:t>
      </w:r>
    </w:p>
    <w:p w:rsidR="0021105D" w:rsidRDefault="009014A9" w:rsidP="00AE3611">
      <w:pPr>
        <w:pStyle w:val="ListParagraph"/>
        <w:numPr>
          <w:ilvl w:val="0"/>
          <w:numId w:val="2"/>
        </w:numPr>
        <w:rPr>
          <w:b/>
          <w:sz w:val="22"/>
          <w:szCs w:val="22"/>
        </w:rPr>
      </w:pPr>
      <w:r>
        <w:rPr>
          <w:sz w:val="22"/>
          <w:szCs w:val="22"/>
        </w:rPr>
        <w:t xml:space="preserve">The </w:t>
      </w:r>
      <w:r w:rsidRPr="009014A9">
        <w:rPr>
          <w:b/>
          <w:sz w:val="22"/>
          <w:szCs w:val="22"/>
        </w:rPr>
        <w:t>state will face increased civil litigation costs when parents sue the state for violating a long held parental legal righ</w:t>
      </w:r>
      <w:r w:rsidR="00EE5017">
        <w:rPr>
          <w:b/>
          <w:sz w:val="22"/>
          <w:szCs w:val="22"/>
        </w:rPr>
        <w:t xml:space="preserve">t and responsibility </w:t>
      </w:r>
      <w:r w:rsidR="00EE5017">
        <w:rPr>
          <w:rStyle w:val="EndnoteReference"/>
          <w:b/>
          <w:sz w:val="22"/>
          <w:szCs w:val="22"/>
        </w:rPr>
        <w:endnoteReference w:id="31"/>
      </w:r>
      <w:r w:rsidR="00CA3ED4">
        <w:rPr>
          <w:b/>
          <w:sz w:val="22"/>
          <w:szCs w:val="22"/>
        </w:rPr>
        <w:t xml:space="preserve"> </w:t>
      </w:r>
      <w:r>
        <w:rPr>
          <w:sz w:val="22"/>
          <w:szCs w:val="22"/>
        </w:rPr>
        <w:t xml:space="preserve">to </w:t>
      </w:r>
      <w:r w:rsidR="00AE3611">
        <w:rPr>
          <w:sz w:val="22"/>
          <w:szCs w:val="22"/>
        </w:rPr>
        <w:t xml:space="preserve">make decisions about medical </w:t>
      </w:r>
      <w:r>
        <w:rPr>
          <w:sz w:val="22"/>
          <w:szCs w:val="22"/>
        </w:rPr>
        <w:t>care</w:t>
      </w:r>
      <w:r w:rsidR="00AE3611">
        <w:rPr>
          <w:sz w:val="22"/>
          <w:szCs w:val="22"/>
        </w:rPr>
        <w:t xml:space="preserve"> </w:t>
      </w:r>
      <w:r w:rsidR="00E95079">
        <w:rPr>
          <w:sz w:val="22"/>
          <w:szCs w:val="22"/>
        </w:rPr>
        <w:t>for their m</w:t>
      </w:r>
      <w:r w:rsidR="00AE3611">
        <w:rPr>
          <w:sz w:val="22"/>
          <w:szCs w:val="22"/>
        </w:rPr>
        <w:t>inor children</w:t>
      </w:r>
      <w:r>
        <w:rPr>
          <w:sz w:val="22"/>
          <w:szCs w:val="22"/>
        </w:rPr>
        <w:t>.</w:t>
      </w:r>
      <w:r w:rsidR="00AE3611" w:rsidRPr="00681236">
        <w:rPr>
          <w:b/>
          <w:sz w:val="22"/>
          <w:szCs w:val="22"/>
        </w:rPr>
        <w:t xml:space="preserve"> </w:t>
      </w:r>
    </w:p>
    <w:p w:rsidR="00BC3CF3" w:rsidRDefault="00BC3CF3">
      <w:pPr>
        <w:rPr>
          <w:i/>
          <w:iCs/>
          <w:sz w:val="20"/>
          <w:szCs w:val="20"/>
        </w:rPr>
      </w:pPr>
    </w:p>
    <w:p w:rsidR="0021105D" w:rsidRPr="00BC3CF3" w:rsidRDefault="0021105D">
      <w:pPr>
        <w:rPr>
          <w:color w:val="984806" w:themeColor="accent6" w:themeShade="80"/>
          <w:sz w:val="20"/>
          <w:szCs w:val="20"/>
        </w:rPr>
      </w:pPr>
      <w:r w:rsidRPr="00BC3CF3">
        <w:rPr>
          <w:i/>
          <w:iCs/>
          <w:color w:val="984806" w:themeColor="accent6" w:themeShade="80"/>
          <w:sz w:val="20"/>
          <w:szCs w:val="20"/>
        </w:rPr>
        <w:t>The National Vaccine Information Center (NVIC) works diligently to prepare and disseminate our legislative advocacy action alerts and supporting materials.  We request that organizations and members of the public forward our alerts in their original form to assure consistent and accurate messaging and effective action. Please acknowledge NVIC as originators of this work when forwarding to members of the public and like-minded organizations. To receive alerts immediately, register at </w:t>
      </w:r>
      <w:hyperlink r:id="rId8" w:history="1">
        <w:r w:rsidRPr="00BC3CF3">
          <w:rPr>
            <w:rStyle w:val="Hyperlink"/>
            <w:i/>
            <w:iCs/>
            <w:color w:val="984806" w:themeColor="accent6" w:themeShade="80"/>
            <w:sz w:val="20"/>
            <w:szCs w:val="20"/>
          </w:rPr>
          <w:t>http://NVICAdvocacy.org</w:t>
        </w:r>
      </w:hyperlink>
      <w:r w:rsidRPr="00BC3CF3">
        <w:rPr>
          <w:i/>
          <w:iCs/>
          <w:color w:val="984806" w:themeColor="accent6" w:themeShade="80"/>
          <w:sz w:val="20"/>
          <w:szCs w:val="20"/>
        </w:rPr>
        <w:t>, a website dedicated to this sole purpose and provided as a free public service by NVIC. </w:t>
      </w:r>
      <w:r w:rsidRPr="00BC3CF3">
        <w:rPr>
          <w:color w:val="984806" w:themeColor="accent6" w:themeShade="80"/>
          <w:sz w:val="20"/>
          <w:szCs w:val="20"/>
        </w:rPr>
        <w:br w:type="page"/>
      </w:r>
    </w:p>
    <w:p w:rsidR="00AE3611" w:rsidRPr="0021105D" w:rsidRDefault="00AE3611" w:rsidP="0021105D">
      <w:pPr>
        <w:rPr>
          <w:b/>
          <w:sz w:val="22"/>
          <w:szCs w:val="22"/>
        </w:rPr>
      </w:pPr>
      <w:r w:rsidRPr="0021105D">
        <w:rPr>
          <w:b/>
          <w:sz w:val="22"/>
          <w:szCs w:val="22"/>
        </w:rPr>
        <w:lastRenderedPageBreak/>
        <w:t xml:space="preserve">  </w:t>
      </w:r>
    </w:p>
    <w:p w:rsidR="00D643B7" w:rsidRPr="00D643B7" w:rsidRDefault="00D643B7" w:rsidP="00D643B7">
      <w:pPr>
        <w:rPr>
          <w:b/>
          <w:sz w:val="22"/>
          <w:szCs w:val="22"/>
        </w:rPr>
      </w:pPr>
    </w:p>
    <w:p w:rsidR="00CA3331" w:rsidRPr="00CA3331" w:rsidRDefault="00BC7B80" w:rsidP="00533DD7">
      <w:pPr>
        <w:rPr>
          <w:b/>
          <w:sz w:val="28"/>
          <w:szCs w:val="28"/>
        </w:rPr>
      </w:pPr>
      <w:r>
        <w:rPr>
          <w:b/>
          <w:sz w:val="28"/>
          <w:szCs w:val="28"/>
        </w:rPr>
        <w:t>References:</w:t>
      </w:r>
    </w:p>
    <w:sectPr w:rsidR="00CA3331" w:rsidRPr="00CA3331" w:rsidSect="0076463E">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7C" w:rsidRDefault="0049167C" w:rsidP="00C5168E">
      <w:r>
        <w:separator/>
      </w:r>
    </w:p>
  </w:endnote>
  <w:endnote w:type="continuationSeparator" w:id="0">
    <w:p w:rsidR="0049167C" w:rsidRDefault="0049167C" w:rsidP="00C5168E">
      <w:r>
        <w:continuationSeparator/>
      </w:r>
    </w:p>
  </w:endnote>
  <w:endnote w:id="1">
    <w:p w:rsidR="003268EA" w:rsidRPr="00A852EC" w:rsidRDefault="003268EA">
      <w:pPr>
        <w:pStyle w:val="EndnoteText"/>
        <w:rPr>
          <w:sz w:val="20"/>
          <w:szCs w:val="20"/>
        </w:rPr>
      </w:pPr>
      <w:r w:rsidRPr="00A852EC">
        <w:rPr>
          <w:rStyle w:val="EndnoteReference"/>
          <w:sz w:val="20"/>
          <w:szCs w:val="20"/>
        </w:rPr>
        <w:endnoteRef/>
      </w:r>
      <w:r w:rsidRPr="00A852EC">
        <w:rPr>
          <w:sz w:val="20"/>
          <w:szCs w:val="20"/>
        </w:rPr>
        <w:t xml:space="preserve"> </w:t>
      </w:r>
      <w:hyperlink r:id="rId1" w:history="1">
        <w:r w:rsidRPr="00302162">
          <w:rPr>
            <w:rStyle w:val="Hyperlink"/>
            <w:sz w:val="20"/>
            <w:szCs w:val="20"/>
          </w:rPr>
          <w:t>The National Childhood Vaccine Injury Act of 1986</w:t>
        </w:r>
      </w:hyperlink>
      <w:r w:rsidRPr="00A852EC">
        <w:rPr>
          <w:sz w:val="20"/>
          <w:szCs w:val="20"/>
        </w:rPr>
        <w:t>.</w:t>
      </w:r>
      <w:r>
        <w:rPr>
          <w:sz w:val="20"/>
          <w:szCs w:val="20"/>
        </w:rPr>
        <w:t xml:space="preserve"> </w:t>
      </w:r>
    </w:p>
  </w:endnote>
  <w:endnote w:id="2">
    <w:p w:rsidR="003268EA" w:rsidRPr="00A852EC" w:rsidRDefault="003268EA">
      <w:pPr>
        <w:pStyle w:val="EndnoteText"/>
        <w:rPr>
          <w:sz w:val="20"/>
          <w:szCs w:val="20"/>
        </w:rPr>
      </w:pPr>
      <w:r w:rsidRPr="00A852EC">
        <w:rPr>
          <w:rStyle w:val="EndnoteReference"/>
          <w:sz w:val="20"/>
          <w:szCs w:val="20"/>
        </w:rPr>
        <w:endnoteRef/>
      </w:r>
      <w:r w:rsidRPr="00A852EC">
        <w:rPr>
          <w:sz w:val="20"/>
          <w:szCs w:val="20"/>
        </w:rPr>
        <w:t xml:space="preserve"> Kleifgen B. </w:t>
      </w:r>
      <w:hyperlink r:id="rId2" w:history="1">
        <w:r w:rsidRPr="00A852EC">
          <w:rPr>
            <w:rStyle w:val="Hyperlink"/>
            <w:sz w:val="20"/>
            <w:szCs w:val="20"/>
          </w:rPr>
          <w:t>Informed Consent in Vaccination</w:t>
        </w:r>
      </w:hyperlink>
      <w:r w:rsidRPr="00A852EC">
        <w:rPr>
          <w:sz w:val="20"/>
          <w:szCs w:val="20"/>
        </w:rPr>
        <w:t>. Vaccine Ethics.org. July 2010</w:t>
      </w:r>
    </w:p>
  </w:endnote>
  <w:endnote w:id="3">
    <w:p w:rsidR="003268EA" w:rsidRPr="00B62EE2" w:rsidRDefault="003268EA">
      <w:pPr>
        <w:pStyle w:val="EndnoteText"/>
        <w:rPr>
          <w:sz w:val="20"/>
          <w:szCs w:val="20"/>
        </w:rPr>
      </w:pPr>
      <w:r w:rsidRPr="00B62EE2">
        <w:rPr>
          <w:rStyle w:val="EndnoteReference"/>
          <w:sz w:val="20"/>
          <w:szCs w:val="20"/>
        </w:rPr>
        <w:endnoteRef/>
      </w:r>
      <w:r w:rsidRPr="00B62EE2">
        <w:rPr>
          <w:sz w:val="20"/>
          <w:szCs w:val="20"/>
        </w:rPr>
        <w:t xml:space="preserve"> </w:t>
      </w:r>
      <w:hyperlink r:id="rId3" w:anchor="_ftnref6" w:history="1">
        <w:r w:rsidRPr="00302162">
          <w:rPr>
            <w:rStyle w:val="Hyperlink"/>
            <w:sz w:val="20"/>
            <w:szCs w:val="20"/>
          </w:rPr>
          <w:t>Parental Right to Refuse Medical Treatment</w:t>
        </w:r>
      </w:hyperlink>
      <w:r w:rsidRPr="00B62EE2">
        <w:rPr>
          <w:sz w:val="20"/>
          <w:szCs w:val="20"/>
        </w:rPr>
        <w:t xml:space="preserve"> in </w:t>
      </w:r>
      <w:r w:rsidRPr="00B62EE2">
        <w:rPr>
          <w:i/>
          <w:sz w:val="20"/>
          <w:szCs w:val="20"/>
        </w:rPr>
        <w:t>Mother Doe &amp; Father Doe vs. Anthony Conyers, Jr., Commissioner of VA Dept. of Social Services and Sarah C. Snead, Director of Chesterfield Dept. of Social Services and VA Governor Mark E. Warner</w:t>
      </w:r>
      <w:r w:rsidRPr="00B62EE2">
        <w:rPr>
          <w:sz w:val="20"/>
          <w:szCs w:val="20"/>
        </w:rPr>
        <w:t xml:space="preserve">. Re: Liberty Interest. June 17, 2005. </w:t>
      </w:r>
    </w:p>
  </w:endnote>
  <w:endnote w:id="4">
    <w:p w:rsidR="003268EA" w:rsidRPr="00B62EE2" w:rsidRDefault="003268EA">
      <w:pPr>
        <w:pStyle w:val="EndnoteText"/>
        <w:rPr>
          <w:sz w:val="20"/>
          <w:szCs w:val="20"/>
        </w:rPr>
      </w:pPr>
      <w:r w:rsidRPr="00B62EE2">
        <w:rPr>
          <w:rStyle w:val="EndnoteReference"/>
          <w:sz w:val="20"/>
          <w:szCs w:val="20"/>
        </w:rPr>
        <w:endnoteRef/>
      </w:r>
      <w:r w:rsidRPr="00B62EE2">
        <w:rPr>
          <w:sz w:val="20"/>
          <w:szCs w:val="20"/>
        </w:rPr>
        <w:t xml:space="preserve"> Zimm A, Preston D. </w:t>
      </w:r>
      <w:hyperlink r:id="rId4" w:history="1">
        <w:r w:rsidRPr="003D0402">
          <w:rPr>
            <w:rStyle w:val="Hyperlink"/>
            <w:sz w:val="20"/>
            <w:szCs w:val="20"/>
          </w:rPr>
          <w:t>Merck Gets First U.S. Cancer Shot Mandate, From Texas</w:t>
        </w:r>
      </w:hyperlink>
      <w:r w:rsidRPr="00B62EE2">
        <w:rPr>
          <w:sz w:val="20"/>
          <w:szCs w:val="20"/>
        </w:rPr>
        <w:t>. Feb. 2, 2007.</w:t>
      </w:r>
      <w:r>
        <w:rPr>
          <w:sz w:val="20"/>
          <w:szCs w:val="20"/>
        </w:rPr>
        <w:t xml:space="preserve"> </w:t>
      </w:r>
    </w:p>
  </w:endnote>
  <w:endnote w:id="5">
    <w:p w:rsidR="003268EA" w:rsidRPr="0053221A" w:rsidRDefault="003268EA">
      <w:pPr>
        <w:pStyle w:val="EndnoteText"/>
        <w:rPr>
          <w:sz w:val="20"/>
          <w:szCs w:val="20"/>
        </w:rPr>
      </w:pPr>
      <w:r w:rsidRPr="0053221A">
        <w:rPr>
          <w:rStyle w:val="EndnoteReference"/>
          <w:sz w:val="20"/>
          <w:szCs w:val="20"/>
        </w:rPr>
        <w:endnoteRef/>
      </w:r>
      <w:r w:rsidRPr="0053221A">
        <w:rPr>
          <w:sz w:val="20"/>
          <w:szCs w:val="20"/>
        </w:rPr>
        <w:t xml:space="preserve"> Rothman SM, Rothman DJ. </w:t>
      </w:r>
      <w:hyperlink r:id="rId5" w:history="1">
        <w:r w:rsidRPr="003D0402">
          <w:rPr>
            <w:rStyle w:val="Hyperlink"/>
            <w:sz w:val="20"/>
            <w:szCs w:val="20"/>
          </w:rPr>
          <w:t>Marketing HPV Vaccine: Implications for Adolescent Health and Medical Professionalism.</w:t>
        </w:r>
      </w:hyperlink>
      <w:r w:rsidRPr="0053221A">
        <w:rPr>
          <w:sz w:val="20"/>
          <w:szCs w:val="20"/>
        </w:rPr>
        <w:t xml:space="preserve"> JAMA 2009; 302(7): 781-786. </w:t>
      </w:r>
    </w:p>
  </w:endnote>
  <w:endnote w:id="6">
    <w:p w:rsidR="003268EA" w:rsidRPr="004510AD" w:rsidRDefault="003268EA">
      <w:pPr>
        <w:pStyle w:val="EndnoteText"/>
        <w:rPr>
          <w:sz w:val="20"/>
          <w:szCs w:val="20"/>
        </w:rPr>
      </w:pPr>
      <w:r w:rsidRPr="004510AD">
        <w:rPr>
          <w:rStyle w:val="EndnoteReference"/>
          <w:sz w:val="20"/>
          <w:szCs w:val="20"/>
        </w:rPr>
        <w:endnoteRef/>
      </w:r>
      <w:r w:rsidRPr="004510AD">
        <w:rPr>
          <w:sz w:val="20"/>
          <w:szCs w:val="20"/>
        </w:rPr>
        <w:t xml:space="preserve"> Attkisson S. </w:t>
      </w:r>
      <w:hyperlink r:id="rId6" w:history="1">
        <w:r w:rsidRPr="004510AD">
          <w:rPr>
            <w:rStyle w:val="Hyperlink"/>
            <w:sz w:val="20"/>
            <w:szCs w:val="20"/>
          </w:rPr>
          <w:t>How Independent Are Vaccine Defenders?</w:t>
        </w:r>
      </w:hyperlink>
      <w:r w:rsidRPr="004510AD">
        <w:rPr>
          <w:sz w:val="20"/>
          <w:szCs w:val="20"/>
        </w:rPr>
        <w:t xml:space="preserve"> CBS-TV News. July 25, 2008. </w:t>
      </w:r>
    </w:p>
  </w:endnote>
  <w:endnote w:id="7">
    <w:p w:rsidR="003268EA" w:rsidRPr="009F027B" w:rsidRDefault="003268EA">
      <w:pPr>
        <w:pStyle w:val="EndnoteText"/>
        <w:rPr>
          <w:sz w:val="20"/>
          <w:szCs w:val="20"/>
        </w:rPr>
      </w:pPr>
      <w:r w:rsidRPr="004510AD">
        <w:rPr>
          <w:rStyle w:val="EndnoteReference"/>
          <w:sz w:val="20"/>
          <w:szCs w:val="20"/>
        </w:rPr>
        <w:endnoteRef/>
      </w:r>
      <w:r w:rsidRPr="004510AD">
        <w:rPr>
          <w:sz w:val="20"/>
          <w:szCs w:val="20"/>
        </w:rPr>
        <w:t xml:space="preserve"> </w:t>
      </w:r>
      <w:r w:rsidRPr="009F027B">
        <w:rPr>
          <w:sz w:val="20"/>
          <w:szCs w:val="20"/>
        </w:rPr>
        <w:t xml:space="preserve">Valigra L. Genocea’s </w:t>
      </w:r>
      <w:hyperlink r:id="rId7" w:history="1">
        <w:r w:rsidRPr="009F027B">
          <w:rPr>
            <w:rStyle w:val="Hyperlink"/>
            <w:sz w:val="20"/>
            <w:szCs w:val="20"/>
          </w:rPr>
          <w:t>$35M VC round pushing herpes vaccine torward clinic</w:t>
        </w:r>
      </w:hyperlink>
      <w:r w:rsidRPr="009F027B">
        <w:rPr>
          <w:sz w:val="20"/>
          <w:szCs w:val="20"/>
        </w:rPr>
        <w:t>. Masshightech.com. Jan. 5, 2011</w:t>
      </w:r>
    </w:p>
  </w:endnote>
  <w:endnote w:id="8">
    <w:p w:rsidR="003268EA" w:rsidRPr="009F027B" w:rsidRDefault="003268EA">
      <w:pPr>
        <w:pStyle w:val="EndnoteText"/>
        <w:rPr>
          <w:sz w:val="20"/>
          <w:szCs w:val="20"/>
        </w:rPr>
      </w:pPr>
      <w:r w:rsidRPr="009F027B">
        <w:rPr>
          <w:rStyle w:val="EndnoteReference"/>
          <w:sz w:val="20"/>
          <w:szCs w:val="20"/>
        </w:rPr>
        <w:endnoteRef/>
      </w:r>
      <w:r w:rsidRPr="009F027B">
        <w:rPr>
          <w:sz w:val="20"/>
          <w:szCs w:val="20"/>
        </w:rPr>
        <w:t xml:space="preserve"> </w:t>
      </w:r>
      <w:hyperlink r:id="rId8" w:history="1">
        <w:r w:rsidR="00371EB3" w:rsidRPr="00371EB3">
          <w:rPr>
            <w:rStyle w:val="Hyperlink"/>
            <w:sz w:val="20"/>
            <w:szCs w:val="20"/>
          </w:rPr>
          <w:t>Health.am. Progress made toward gonorrhea vaccine.</w:t>
        </w:r>
      </w:hyperlink>
      <w:r w:rsidR="00371EB3" w:rsidRPr="00371EB3">
        <w:rPr>
          <w:sz w:val="20"/>
          <w:szCs w:val="20"/>
        </w:rPr>
        <w:t xml:space="preserve"> </w:t>
      </w:r>
      <w:r w:rsidR="00371EB3" w:rsidRPr="00371EB3">
        <w:rPr>
          <w:i/>
          <w:iCs/>
          <w:sz w:val="20"/>
          <w:szCs w:val="20"/>
        </w:rPr>
        <w:t>Drug News</w:t>
      </w:r>
      <w:r w:rsidR="00371EB3" w:rsidRPr="00371EB3">
        <w:rPr>
          <w:sz w:val="20"/>
          <w:szCs w:val="20"/>
        </w:rPr>
        <w:t>. Jul. 19, 2005. </w:t>
      </w:r>
      <w:r w:rsidR="00371EB3" w:rsidRPr="009F027B">
        <w:rPr>
          <w:sz w:val="20"/>
          <w:szCs w:val="20"/>
        </w:rPr>
        <w:t xml:space="preserve"> </w:t>
      </w:r>
    </w:p>
  </w:endnote>
  <w:endnote w:id="9">
    <w:p w:rsidR="003268EA" w:rsidRPr="005C0772" w:rsidRDefault="003268EA">
      <w:pPr>
        <w:pStyle w:val="EndnoteText"/>
        <w:rPr>
          <w:sz w:val="20"/>
          <w:szCs w:val="20"/>
        </w:rPr>
      </w:pPr>
      <w:r w:rsidRPr="005C0772">
        <w:rPr>
          <w:rStyle w:val="EndnoteReference"/>
          <w:sz w:val="20"/>
          <w:szCs w:val="20"/>
        </w:rPr>
        <w:endnoteRef/>
      </w:r>
      <w:r w:rsidRPr="005C0772">
        <w:rPr>
          <w:sz w:val="20"/>
          <w:szCs w:val="20"/>
        </w:rPr>
        <w:t xml:space="preserve"> Science Daily. </w:t>
      </w:r>
      <w:hyperlink r:id="rId9" w:history="1">
        <w:r w:rsidRPr="003D0402">
          <w:rPr>
            <w:rStyle w:val="Hyperlink"/>
            <w:sz w:val="20"/>
            <w:szCs w:val="20"/>
          </w:rPr>
          <w:t>Chlamydia Vaccine A Step Closer to Reality</w:t>
        </w:r>
      </w:hyperlink>
      <w:r w:rsidRPr="005C0772">
        <w:rPr>
          <w:sz w:val="20"/>
          <w:szCs w:val="20"/>
        </w:rPr>
        <w:t xml:space="preserve">. Feb. 2, 2007. </w:t>
      </w:r>
    </w:p>
  </w:endnote>
  <w:endnote w:id="10">
    <w:p w:rsidR="003268EA" w:rsidRPr="00B54D9C" w:rsidRDefault="003268EA">
      <w:pPr>
        <w:pStyle w:val="EndnoteText"/>
        <w:rPr>
          <w:sz w:val="20"/>
          <w:szCs w:val="20"/>
        </w:rPr>
      </w:pPr>
      <w:r w:rsidRPr="005C0772">
        <w:rPr>
          <w:rStyle w:val="EndnoteReference"/>
          <w:sz w:val="20"/>
          <w:szCs w:val="20"/>
        </w:rPr>
        <w:endnoteRef/>
      </w:r>
      <w:r w:rsidRPr="005C0772">
        <w:rPr>
          <w:sz w:val="20"/>
          <w:szCs w:val="20"/>
        </w:rPr>
        <w:t xml:space="preserve"> </w:t>
      </w:r>
      <w:r w:rsidRPr="00B54D9C">
        <w:rPr>
          <w:sz w:val="20"/>
          <w:szCs w:val="20"/>
        </w:rPr>
        <w:t xml:space="preserve">Bowdler N. </w:t>
      </w:r>
      <w:hyperlink r:id="rId10" w:history="1">
        <w:r w:rsidRPr="00B54D9C">
          <w:rPr>
            <w:rStyle w:val="Hyperlink"/>
            <w:sz w:val="20"/>
            <w:szCs w:val="20"/>
          </w:rPr>
          <w:t>Monkey HIV vaccines ‘effective,’ say researchers.</w:t>
        </w:r>
      </w:hyperlink>
      <w:r w:rsidRPr="00B54D9C">
        <w:rPr>
          <w:sz w:val="20"/>
          <w:szCs w:val="20"/>
        </w:rPr>
        <w:t xml:space="preserve"> BBC News. May 11, 2011</w:t>
      </w:r>
    </w:p>
  </w:endnote>
  <w:endnote w:id="11">
    <w:p w:rsidR="003268EA" w:rsidRPr="00B54D9C" w:rsidRDefault="003268EA">
      <w:pPr>
        <w:pStyle w:val="EndnoteText"/>
        <w:rPr>
          <w:sz w:val="20"/>
          <w:szCs w:val="20"/>
        </w:rPr>
      </w:pPr>
      <w:r w:rsidRPr="00B54D9C">
        <w:rPr>
          <w:rStyle w:val="EndnoteReference"/>
          <w:sz w:val="20"/>
          <w:szCs w:val="20"/>
        </w:rPr>
        <w:endnoteRef/>
      </w:r>
      <w:r w:rsidRPr="00B54D9C">
        <w:rPr>
          <w:sz w:val="20"/>
          <w:szCs w:val="20"/>
        </w:rPr>
        <w:t xml:space="preserve"> HRSA. </w:t>
      </w:r>
      <w:hyperlink r:id="rId11" w:anchor="Claims" w:history="1">
        <w:r w:rsidRPr="00B54D9C">
          <w:rPr>
            <w:rStyle w:val="Hyperlink"/>
            <w:sz w:val="20"/>
            <w:szCs w:val="20"/>
          </w:rPr>
          <w:t>Vaccine Injury Compensation Program Statistics</w:t>
        </w:r>
      </w:hyperlink>
    </w:p>
  </w:endnote>
  <w:endnote w:id="12">
    <w:p w:rsidR="003268EA" w:rsidRPr="00DC1C4E" w:rsidRDefault="003268EA">
      <w:pPr>
        <w:pStyle w:val="EndnoteText"/>
        <w:rPr>
          <w:sz w:val="20"/>
          <w:szCs w:val="20"/>
        </w:rPr>
      </w:pPr>
      <w:r w:rsidRPr="00DC1C4E">
        <w:rPr>
          <w:rStyle w:val="EndnoteReference"/>
          <w:sz w:val="20"/>
          <w:szCs w:val="20"/>
        </w:rPr>
        <w:endnoteRef/>
      </w:r>
      <w:r w:rsidRPr="00DC1C4E">
        <w:rPr>
          <w:sz w:val="20"/>
          <w:szCs w:val="20"/>
        </w:rPr>
        <w:t xml:space="preserve"> </w:t>
      </w:r>
      <w:r>
        <w:rPr>
          <w:sz w:val="20"/>
          <w:szCs w:val="20"/>
        </w:rPr>
        <w:t xml:space="preserve">Stratton K, Ford A, Rusch E, Clayton EW, editors. </w:t>
      </w:r>
      <w:hyperlink r:id="rId12" w:history="1">
        <w:r w:rsidRPr="003D0402">
          <w:rPr>
            <w:rStyle w:val="Hyperlink"/>
            <w:sz w:val="20"/>
            <w:szCs w:val="20"/>
          </w:rPr>
          <w:t>Adverse Effects of Vaccines: Evidence and  Causality.</w:t>
        </w:r>
      </w:hyperlink>
      <w:r>
        <w:rPr>
          <w:sz w:val="20"/>
          <w:szCs w:val="20"/>
        </w:rPr>
        <w:t xml:space="preserve"> Committee to Review Adverse Effects of Vaccines. National Academies Press: 2011. </w:t>
      </w:r>
    </w:p>
  </w:endnote>
  <w:endnote w:id="13">
    <w:p w:rsidR="003268EA" w:rsidRPr="00F12B31" w:rsidRDefault="003268EA">
      <w:pPr>
        <w:pStyle w:val="EndnoteText"/>
        <w:rPr>
          <w:sz w:val="20"/>
          <w:szCs w:val="20"/>
        </w:rPr>
      </w:pPr>
      <w:r w:rsidRPr="00F12B31">
        <w:rPr>
          <w:rStyle w:val="EndnoteReference"/>
          <w:sz w:val="20"/>
          <w:szCs w:val="20"/>
        </w:rPr>
        <w:endnoteRef/>
      </w:r>
      <w:r w:rsidRPr="00F12B31">
        <w:rPr>
          <w:sz w:val="20"/>
          <w:szCs w:val="20"/>
        </w:rPr>
        <w:t xml:space="preserve"> National Vaccine Information Center. </w:t>
      </w:r>
      <w:hyperlink r:id="rId13" w:history="1">
        <w:r w:rsidRPr="003D0402">
          <w:rPr>
            <w:rStyle w:val="Hyperlink"/>
            <w:sz w:val="20"/>
            <w:szCs w:val="20"/>
          </w:rPr>
          <w:t xml:space="preserve">NVIC Statement on </w:t>
        </w:r>
        <w:r w:rsidRPr="003D0402">
          <w:rPr>
            <w:rStyle w:val="Hyperlink"/>
            <w:i/>
            <w:sz w:val="20"/>
            <w:szCs w:val="20"/>
          </w:rPr>
          <w:t>Adverse Effects of Vaccines: Evidence and Causality</w:t>
        </w:r>
      </w:hyperlink>
      <w:r w:rsidRPr="00F12B31">
        <w:rPr>
          <w:sz w:val="20"/>
          <w:szCs w:val="20"/>
        </w:rPr>
        <w:t xml:space="preserve">, IOM Committee to Review Adverse Effects of Vaccines. Aug. 25, 2011. </w:t>
      </w:r>
    </w:p>
  </w:endnote>
  <w:endnote w:id="14">
    <w:p w:rsidR="003268EA" w:rsidRPr="00F12B31" w:rsidRDefault="003268EA">
      <w:pPr>
        <w:pStyle w:val="EndnoteText"/>
        <w:rPr>
          <w:sz w:val="20"/>
          <w:szCs w:val="20"/>
        </w:rPr>
      </w:pPr>
      <w:r w:rsidRPr="00F12B31">
        <w:rPr>
          <w:rStyle w:val="EndnoteReference"/>
          <w:sz w:val="20"/>
          <w:szCs w:val="20"/>
        </w:rPr>
        <w:endnoteRef/>
      </w:r>
      <w:r w:rsidRPr="00F12B31">
        <w:rPr>
          <w:sz w:val="20"/>
          <w:szCs w:val="20"/>
        </w:rPr>
        <w:t xml:space="preserve"> </w:t>
      </w:r>
      <w:r w:rsidRPr="008C1C09">
        <w:rPr>
          <w:sz w:val="18"/>
          <w:szCs w:val="18"/>
        </w:rPr>
        <w:t xml:space="preserve">VAERS. </w:t>
      </w:r>
      <w:hyperlink r:id="rId14" w:history="1">
        <w:r w:rsidRPr="008C1C09">
          <w:rPr>
            <w:rStyle w:val="Hyperlink"/>
            <w:sz w:val="18"/>
            <w:szCs w:val="18"/>
          </w:rPr>
          <w:t>MedAlerts Database</w:t>
        </w:r>
      </w:hyperlink>
      <w:r w:rsidRPr="008C1C09">
        <w:rPr>
          <w:sz w:val="18"/>
          <w:szCs w:val="18"/>
        </w:rPr>
        <w:t>.</w:t>
      </w:r>
    </w:p>
  </w:endnote>
  <w:endnote w:id="15">
    <w:p w:rsidR="003268EA" w:rsidRPr="00A2313D" w:rsidRDefault="003268EA">
      <w:pPr>
        <w:pStyle w:val="EndnoteText"/>
        <w:rPr>
          <w:sz w:val="20"/>
          <w:szCs w:val="20"/>
        </w:rPr>
      </w:pPr>
      <w:r w:rsidRPr="00A2313D">
        <w:rPr>
          <w:rStyle w:val="EndnoteReference"/>
          <w:sz w:val="20"/>
          <w:szCs w:val="20"/>
        </w:rPr>
        <w:endnoteRef/>
      </w:r>
      <w:r w:rsidRPr="00A2313D">
        <w:rPr>
          <w:sz w:val="20"/>
          <w:szCs w:val="20"/>
        </w:rPr>
        <w:t xml:space="preserve"> See Reference #12.</w:t>
      </w:r>
    </w:p>
  </w:endnote>
  <w:endnote w:id="16">
    <w:p w:rsidR="003268EA" w:rsidRPr="00DF28BD" w:rsidRDefault="003268EA">
      <w:pPr>
        <w:pStyle w:val="EndnoteText"/>
        <w:rPr>
          <w:sz w:val="20"/>
          <w:szCs w:val="20"/>
        </w:rPr>
      </w:pPr>
      <w:r w:rsidRPr="00DF28BD">
        <w:rPr>
          <w:rStyle w:val="EndnoteReference"/>
          <w:sz w:val="20"/>
          <w:szCs w:val="20"/>
        </w:rPr>
        <w:endnoteRef/>
      </w:r>
      <w:r w:rsidRPr="00DF28BD">
        <w:rPr>
          <w:sz w:val="20"/>
          <w:szCs w:val="20"/>
        </w:rPr>
        <w:t xml:space="preserve"> See Reference #14.</w:t>
      </w:r>
    </w:p>
  </w:endnote>
  <w:endnote w:id="17">
    <w:p w:rsidR="003268EA" w:rsidRPr="002B57F7" w:rsidRDefault="003268EA">
      <w:pPr>
        <w:pStyle w:val="EndnoteText"/>
        <w:rPr>
          <w:sz w:val="20"/>
          <w:szCs w:val="20"/>
        </w:rPr>
      </w:pPr>
      <w:r w:rsidRPr="002B57F7">
        <w:rPr>
          <w:rStyle w:val="EndnoteReference"/>
          <w:sz w:val="20"/>
          <w:szCs w:val="20"/>
        </w:rPr>
        <w:endnoteRef/>
      </w:r>
      <w:r w:rsidRPr="002B57F7">
        <w:rPr>
          <w:sz w:val="20"/>
          <w:szCs w:val="20"/>
        </w:rPr>
        <w:t xml:space="preserve"> </w:t>
      </w:r>
      <w:r>
        <w:rPr>
          <w:sz w:val="20"/>
          <w:szCs w:val="20"/>
        </w:rPr>
        <w:t>See Reference #1.</w:t>
      </w:r>
    </w:p>
  </w:endnote>
  <w:endnote w:id="18">
    <w:p w:rsidR="003268EA" w:rsidRPr="00D4382B" w:rsidRDefault="003268EA">
      <w:pPr>
        <w:pStyle w:val="EndnoteText"/>
        <w:rPr>
          <w:sz w:val="20"/>
          <w:szCs w:val="20"/>
        </w:rPr>
      </w:pPr>
      <w:r w:rsidRPr="009256A4">
        <w:rPr>
          <w:rStyle w:val="EndnoteReference"/>
          <w:sz w:val="20"/>
          <w:szCs w:val="20"/>
        </w:rPr>
        <w:endnoteRef/>
      </w:r>
      <w:r w:rsidRPr="009256A4">
        <w:rPr>
          <w:sz w:val="20"/>
          <w:szCs w:val="20"/>
        </w:rPr>
        <w:t xml:space="preserve"> </w:t>
      </w:r>
      <w:r w:rsidRPr="00D4382B">
        <w:rPr>
          <w:sz w:val="20"/>
          <w:szCs w:val="20"/>
        </w:rPr>
        <w:t>Supreme Court of the United States</w:t>
      </w:r>
      <w:r w:rsidRPr="00D4382B">
        <w:rPr>
          <w:color w:val="282828"/>
          <w:sz w:val="20"/>
          <w:szCs w:val="20"/>
        </w:rPr>
        <w:t xml:space="preserve">. </w:t>
      </w:r>
      <w:hyperlink r:id="rId15" w:history="1">
        <w:r w:rsidRPr="00D4382B">
          <w:rPr>
            <w:color w:val="3B6FC8"/>
            <w:sz w:val="20"/>
            <w:szCs w:val="20"/>
            <w:u w:val="single" w:color="3B6FC8"/>
          </w:rPr>
          <w:t>Russell Bruesewitz et al v. Wyeth et al</w:t>
        </w:r>
      </w:hyperlink>
      <w:r w:rsidRPr="00D4382B">
        <w:rPr>
          <w:color w:val="282828"/>
          <w:sz w:val="20"/>
          <w:szCs w:val="20"/>
        </w:rPr>
        <w:t xml:space="preserve">. </w:t>
      </w:r>
      <w:r w:rsidRPr="00D4382B">
        <w:rPr>
          <w:sz w:val="20"/>
          <w:szCs w:val="20"/>
        </w:rPr>
        <w:t>No. 09-152. Argued October 12, 2010 – Decided February 22, 2011</w:t>
      </w:r>
      <w:r>
        <w:rPr>
          <w:sz w:val="20"/>
          <w:szCs w:val="20"/>
        </w:rPr>
        <w:t>.</w:t>
      </w:r>
    </w:p>
  </w:endnote>
  <w:endnote w:id="19">
    <w:p w:rsidR="003268EA" w:rsidRPr="00D4382B" w:rsidRDefault="003268EA">
      <w:pPr>
        <w:pStyle w:val="EndnoteText"/>
        <w:rPr>
          <w:sz w:val="20"/>
          <w:szCs w:val="20"/>
        </w:rPr>
      </w:pPr>
      <w:r w:rsidRPr="00D4382B">
        <w:rPr>
          <w:rStyle w:val="EndnoteReference"/>
          <w:sz w:val="20"/>
          <w:szCs w:val="20"/>
        </w:rPr>
        <w:endnoteRef/>
      </w:r>
      <w:r w:rsidRPr="00D4382B">
        <w:rPr>
          <w:sz w:val="20"/>
          <w:szCs w:val="20"/>
        </w:rPr>
        <w:t xml:space="preserve"> NVIC. Press Release: </w:t>
      </w:r>
      <w:hyperlink r:id="rId16" w:history="1">
        <w:r w:rsidRPr="00D4382B">
          <w:rPr>
            <w:rStyle w:val="Hyperlink"/>
            <w:sz w:val="20"/>
            <w:szCs w:val="20"/>
          </w:rPr>
          <w:t>NVIC Cites “Betrayal” of Consumers by U.S. Supreme Court Giving Total Liability Shield to Big Pharma.</w:t>
        </w:r>
      </w:hyperlink>
      <w:r w:rsidRPr="00D4382B">
        <w:rPr>
          <w:sz w:val="20"/>
          <w:szCs w:val="20"/>
        </w:rPr>
        <w:t xml:space="preserve"> Feb. 23, 2011.</w:t>
      </w:r>
    </w:p>
  </w:endnote>
  <w:endnote w:id="20">
    <w:p w:rsidR="003268EA" w:rsidRPr="00C4655B" w:rsidRDefault="003268EA">
      <w:pPr>
        <w:pStyle w:val="EndnoteText"/>
        <w:rPr>
          <w:sz w:val="20"/>
          <w:szCs w:val="20"/>
        </w:rPr>
      </w:pPr>
      <w:r w:rsidRPr="00C4655B">
        <w:rPr>
          <w:rStyle w:val="EndnoteReference"/>
          <w:sz w:val="20"/>
          <w:szCs w:val="20"/>
        </w:rPr>
        <w:endnoteRef/>
      </w:r>
      <w:r w:rsidRPr="00C4655B">
        <w:rPr>
          <w:sz w:val="20"/>
          <w:szCs w:val="20"/>
        </w:rPr>
        <w:t xml:space="preserve"> See Reference #11.</w:t>
      </w:r>
    </w:p>
  </w:endnote>
  <w:endnote w:id="21">
    <w:p w:rsidR="003268EA" w:rsidRPr="00A5063B" w:rsidRDefault="003268EA">
      <w:pPr>
        <w:pStyle w:val="EndnoteText"/>
        <w:rPr>
          <w:sz w:val="20"/>
          <w:szCs w:val="20"/>
        </w:rPr>
      </w:pPr>
      <w:r w:rsidRPr="00A5063B">
        <w:rPr>
          <w:rStyle w:val="EndnoteReference"/>
          <w:sz w:val="20"/>
          <w:szCs w:val="20"/>
        </w:rPr>
        <w:endnoteRef/>
      </w:r>
      <w:r w:rsidRPr="00A5063B">
        <w:rPr>
          <w:sz w:val="20"/>
          <w:szCs w:val="20"/>
        </w:rPr>
        <w:t xml:space="preserve"> </w:t>
      </w:r>
      <w:r w:rsidRPr="00A5063B">
        <w:rPr>
          <w:color w:val="282828"/>
          <w:sz w:val="20"/>
          <w:szCs w:val="20"/>
        </w:rPr>
        <w:t xml:space="preserve">Fagan A. </w:t>
      </w:r>
      <w:hyperlink r:id="rId17" w:anchor="H6" w:history="1">
        <w:r w:rsidRPr="00A5063B">
          <w:rPr>
            <w:color w:val="3B6FC8"/>
            <w:sz w:val="20"/>
            <w:szCs w:val="20"/>
          </w:rPr>
          <w:t>Human Rights</w:t>
        </w:r>
      </w:hyperlink>
      <w:r w:rsidRPr="00A5063B">
        <w:rPr>
          <w:color w:val="282828"/>
          <w:sz w:val="20"/>
          <w:szCs w:val="20"/>
        </w:rPr>
        <w:t>. Internet Encyclopedia of Philosophy. July 5, 2005.</w:t>
      </w:r>
    </w:p>
  </w:endnote>
  <w:endnote w:id="22">
    <w:p w:rsidR="003268EA" w:rsidRPr="00E001E1" w:rsidRDefault="003268EA">
      <w:pPr>
        <w:pStyle w:val="EndnoteText"/>
        <w:rPr>
          <w:sz w:val="20"/>
          <w:szCs w:val="20"/>
        </w:rPr>
      </w:pPr>
      <w:r w:rsidRPr="00E001E1">
        <w:rPr>
          <w:rStyle w:val="EndnoteReference"/>
          <w:sz w:val="20"/>
          <w:szCs w:val="20"/>
        </w:rPr>
        <w:endnoteRef/>
      </w:r>
      <w:r w:rsidRPr="00E001E1">
        <w:rPr>
          <w:sz w:val="20"/>
          <w:szCs w:val="20"/>
        </w:rPr>
        <w:t xml:space="preserve"> </w:t>
      </w:r>
      <w:r>
        <w:rPr>
          <w:sz w:val="20"/>
          <w:szCs w:val="20"/>
        </w:rPr>
        <w:t xml:space="preserve">University of Washington School of Medicine. </w:t>
      </w:r>
      <w:hyperlink r:id="rId18" w:anchor="ques1" w:history="1">
        <w:r w:rsidRPr="003D0402">
          <w:rPr>
            <w:rStyle w:val="Hyperlink"/>
            <w:sz w:val="20"/>
            <w:szCs w:val="20"/>
          </w:rPr>
          <w:t>Ethics in Medicine: Informed Consent</w:t>
        </w:r>
      </w:hyperlink>
      <w:r>
        <w:rPr>
          <w:sz w:val="20"/>
          <w:szCs w:val="20"/>
        </w:rPr>
        <w:t xml:space="preserve">. Accessed Sept. 1, 2011. </w:t>
      </w:r>
    </w:p>
  </w:endnote>
  <w:endnote w:id="23">
    <w:p w:rsidR="003268EA" w:rsidRPr="00B47DD1" w:rsidRDefault="003268EA">
      <w:pPr>
        <w:pStyle w:val="EndnoteText"/>
        <w:rPr>
          <w:sz w:val="20"/>
          <w:szCs w:val="20"/>
        </w:rPr>
      </w:pPr>
      <w:r w:rsidRPr="00697FAE">
        <w:rPr>
          <w:rStyle w:val="EndnoteReference"/>
          <w:sz w:val="20"/>
          <w:szCs w:val="20"/>
        </w:rPr>
        <w:endnoteRef/>
      </w:r>
      <w:r w:rsidRPr="00697FAE">
        <w:rPr>
          <w:sz w:val="20"/>
          <w:szCs w:val="20"/>
        </w:rPr>
        <w:t xml:space="preserve"> </w:t>
      </w:r>
      <w:r w:rsidRPr="00B47DD1">
        <w:rPr>
          <w:sz w:val="20"/>
          <w:szCs w:val="20"/>
        </w:rPr>
        <w:t xml:space="preserve">AMA. </w:t>
      </w:r>
      <w:hyperlink r:id="rId19" w:history="1">
        <w:r w:rsidRPr="003D0402">
          <w:rPr>
            <w:rStyle w:val="Hyperlink"/>
            <w:sz w:val="20"/>
            <w:szCs w:val="20"/>
          </w:rPr>
          <w:t>Informed Consent</w:t>
        </w:r>
      </w:hyperlink>
      <w:r w:rsidRPr="00B47DD1">
        <w:rPr>
          <w:sz w:val="20"/>
          <w:szCs w:val="20"/>
        </w:rPr>
        <w:t xml:space="preserve">. Accessed Sept. 1, 2011. </w:t>
      </w:r>
    </w:p>
  </w:endnote>
  <w:endnote w:id="24">
    <w:p w:rsidR="003268EA" w:rsidRPr="00FC6414" w:rsidRDefault="003268EA">
      <w:pPr>
        <w:pStyle w:val="EndnoteText"/>
        <w:rPr>
          <w:sz w:val="20"/>
          <w:szCs w:val="20"/>
        </w:rPr>
      </w:pPr>
      <w:r w:rsidRPr="00FC6414">
        <w:rPr>
          <w:rStyle w:val="EndnoteReference"/>
          <w:sz w:val="20"/>
          <w:szCs w:val="20"/>
        </w:rPr>
        <w:endnoteRef/>
      </w:r>
      <w:r w:rsidRPr="00FC6414">
        <w:rPr>
          <w:sz w:val="20"/>
          <w:szCs w:val="20"/>
        </w:rPr>
        <w:t xml:space="preserve"> </w:t>
      </w:r>
      <w:hyperlink r:id="rId20" w:history="1">
        <w:r w:rsidRPr="003D0402">
          <w:rPr>
            <w:rStyle w:val="Hyperlink"/>
            <w:sz w:val="20"/>
            <w:szCs w:val="20"/>
          </w:rPr>
          <w:t>Supreme Court of California. Arato v. Avedon</w:t>
        </w:r>
      </w:hyperlink>
      <w:r w:rsidRPr="00FC6414">
        <w:rPr>
          <w:sz w:val="20"/>
          <w:szCs w:val="20"/>
        </w:rPr>
        <w:t xml:space="preserve"> (858 P2d 598) 1993. </w:t>
      </w:r>
    </w:p>
  </w:endnote>
  <w:endnote w:id="25">
    <w:p w:rsidR="003268EA" w:rsidRDefault="003268EA" w:rsidP="00DE3BB1">
      <w:r w:rsidRPr="001C61BC">
        <w:rPr>
          <w:rStyle w:val="EndnoteReference"/>
          <w:sz w:val="20"/>
          <w:szCs w:val="20"/>
        </w:rPr>
        <w:endnoteRef/>
      </w:r>
      <w:r w:rsidRPr="001C61BC">
        <w:rPr>
          <w:sz w:val="20"/>
          <w:szCs w:val="20"/>
        </w:rPr>
        <w:t xml:space="preserve"> </w:t>
      </w:r>
      <w:r w:rsidRPr="001C61BC">
        <w:rPr>
          <w:rFonts w:eastAsia="Times New Roman" w:cs="Times New Roman"/>
          <w:sz w:val="20"/>
          <w:szCs w:val="20"/>
        </w:rPr>
        <w:t xml:space="preserve">McCabe MA. </w:t>
      </w:r>
      <w:hyperlink r:id="rId21" w:history="1">
        <w:r w:rsidRPr="003D0402">
          <w:rPr>
            <w:rStyle w:val="Hyperlink"/>
            <w:rFonts w:eastAsia="Times New Roman" w:cs="Times New Roman"/>
            <w:sz w:val="20"/>
            <w:szCs w:val="20"/>
          </w:rPr>
          <w:t>Involving Children and Adolescents in Medical Decision Making: Developmental and Clinical Considerations.</w:t>
        </w:r>
      </w:hyperlink>
      <w:r w:rsidRPr="001C61BC">
        <w:rPr>
          <w:rFonts w:eastAsia="Times New Roman" w:cs="Times New Roman"/>
          <w:sz w:val="20"/>
          <w:szCs w:val="20"/>
        </w:rPr>
        <w:t xml:space="preserve"> </w:t>
      </w:r>
      <w:r w:rsidRPr="001C61BC">
        <w:rPr>
          <w:rFonts w:eastAsia="Times New Roman" w:cs="Times New Roman"/>
          <w:i/>
          <w:sz w:val="20"/>
          <w:szCs w:val="20"/>
        </w:rPr>
        <w:t>Journal of Pediatric Psychology</w:t>
      </w:r>
      <w:r w:rsidRPr="001C61BC">
        <w:rPr>
          <w:rFonts w:eastAsia="Times New Roman" w:cs="Times New Roman"/>
          <w:sz w:val="20"/>
          <w:szCs w:val="20"/>
        </w:rPr>
        <w:t xml:space="preserve"> 1996; 21(4): 505-516. </w:t>
      </w:r>
    </w:p>
  </w:endnote>
  <w:endnote w:id="26">
    <w:p w:rsidR="003268EA" w:rsidRPr="000E4F05" w:rsidRDefault="003268EA">
      <w:pPr>
        <w:pStyle w:val="EndnoteText"/>
        <w:rPr>
          <w:sz w:val="20"/>
          <w:szCs w:val="20"/>
        </w:rPr>
      </w:pPr>
      <w:r w:rsidRPr="000E4F05">
        <w:rPr>
          <w:rStyle w:val="EndnoteReference"/>
          <w:sz w:val="20"/>
          <w:szCs w:val="20"/>
        </w:rPr>
        <w:endnoteRef/>
      </w:r>
      <w:r w:rsidRPr="000E4F05">
        <w:rPr>
          <w:sz w:val="20"/>
          <w:szCs w:val="20"/>
        </w:rPr>
        <w:t xml:space="preserve"> Oswalt A. </w:t>
      </w:r>
      <w:hyperlink r:id="rId22" w:history="1">
        <w:r w:rsidRPr="003D0402">
          <w:rPr>
            <w:rStyle w:val="Hyperlink"/>
            <w:sz w:val="20"/>
            <w:szCs w:val="20"/>
          </w:rPr>
          <w:t>Jean Piaget’s Theory of Cognitive Development. Child Development Theory: Adolesence.</w:t>
        </w:r>
      </w:hyperlink>
      <w:r w:rsidRPr="000E4F05">
        <w:rPr>
          <w:sz w:val="20"/>
          <w:szCs w:val="20"/>
        </w:rPr>
        <w:t xml:space="preserve"> MentalHelp.net. Nov. 17, 2010. </w:t>
      </w:r>
    </w:p>
  </w:endnote>
  <w:endnote w:id="27">
    <w:p w:rsidR="003268EA" w:rsidRPr="000E4F05" w:rsidRDefault="003268EA">
      <w:pPr>
        <w:pStyle w:val="EndnoteText"/>
        <w:rPr>
          <w:sz w:val="20"/>
          <w:szCs w:val="20"/>
        </w:rPr>
      </w:pPr>
      <w:r w:rsidRPr="000E4F05">
        <w:rPr>
          <w:rStyle w:val="EndnoteReference"/>
          <w:sz w:val="20"/>
          <w:szCs w:val="20"/>
        </w:rPr>
        <w:endnoteRef/>
      </w:r>
      <w:r w:rsidRPr="000E4F05">
        <w:rPr>
          <w:sz w:val="20"/>
          <w:szCs w:val="20"/>
        </w:rPr>
        <w:t xml:space="preserve"> </w:t>
      </w:r>
      <w:r>
        <w:rPr>
          <w:sz w:val="20"/>
          <w:szCs w:val="20"/>
        </w:rPr>
        <w:t xml:space="preserve">Dartmouth College. Press Release: </w:t>
      </w:r>
      <w:hyperlink r:id="rId23" w:history="1">
        <w:r w:rsidRPr="003D0402">
          <w:rPr>
            <w:rStyle w:val="Hyperlink"/>
            <w:sz w:val="20"/>
            <w:szCs w:val="20"/>
          </w:rPr>
          <w:t>Brain changes significantly after age 18, says Dartmouth research.</w:t>
        </w:r>
      </w:hyperlink>
      <w:r>
        <w:rPr>
          <w:sz w:val="20"/>
          <w:szCs w:val="20"/>
        </w:rPr>
        <w:t xml:space="preserve"> Feb. 6, 2006. </w:t>
      </w:r>
    </w:p>
  </w:endnote>
  <w:endnote w:id="28">
    <w:p w:rsidR="003268EA" w:rsidRPr="00D706AB" w:rsidRDefault="003268EA">
      <w:pPr>
        <w:pStyle w:val="EndnoteText"/>
        <w:rPr>
          <w:sz w:val="20"/>
          <w:szCs w:val="20"/>
        </w:rPr>
      </w:pPr>
      <w:r w:rsidRPr="00D706AB">
        <w:rPr>
          <w:rStyle w:val="EndnoteReference"/>
          <w:sz w:val="20"/>
          <w:szCs w:val="20"/>
        </w:rPr>
        <w:endnoteRef/>
      </w:r>
      <w:r w:rsidRPr="00D706AB">
        <w:rPr>
          <w:sz w:val="20"/>
          <w:szCs w:val="20"/>
        </w:rPr>
        <w:t xml:space="preserve"> </w:t>
      </w:r>
      <w:r>
        <w:rPr>
          <w:sz w:val="20"/>
          <w:szCs w:val="20"/>
        </w:rPr>
        <w:t xml:space="preserve">Klicka CJ. </w:t>
      </w:r>
      <w:hyperlink r:id="rId24" w:history="1">
        <w:r w:rsidRPr="003D0402">
          <w:rPr>
            <w:rStyle w:val="Hyperlink"/>
            <w:sz w:val="20"/>
            <w:szCs w:val="20"/>
          </w:rPr>
          <w:t>Parental Rights: Decisions of the U.S. Supreme Court Upholding Parental rights as “Fundamental.”</w:t>
        </w:r>
      </w:hyperlink>
      <w:r>
        <w:rPr>
          <w:sz w:val="20"/>
          <w:szCs w:val="20"/>
        </w:rPr>
        <w:t xml:space="preserve"> 2003. </w:t>
      </w:r>
    </w:p>
  </w:endnote>
  <w:endnote w:id="29">
    <w:p w:rsidR="003268EA" w:rsidRDefault="003268EA">
      <w:pPr>
        <w:pStyle w:val="EndnoteText"/>
      </w:pPr>
      <w:r w:rsidRPr="007822EC">
        <w:rPr>
          <w:rStyle w:val="EndnoteReference"/>
          <w:sz w:val="20"/>
          <w:szCs w:val="20"/>
        </w:rPr>
        <w:endnoteRef/>
      </w:r>
      <w:r w:rsidRPr="007822EC">
        <w:rPr>
          <w:sz w:val="20"/>
          <w:szCs w:val="20"/>
        </w:rPr>
        <w:t xml:space="preserve"> Cochran S. </w:t>
      </w:r>
      <w:hyperlink r:id="rId25" w:history="1">
        <w:r w:rsidRPr="003D0402">
          <w:rPr>
            <w:rStyle w:val="Hyperlink"/>
            <w:sz w:val="20"/>
            <w:szCs w:val="20"/>
          </w:rPr>
          <w:t>CA AB499 Nixes Parental Consent for Gardasil Shots Given to Preteens.</w:t>
        </w:r>
      </w:hyperlink>
      <w:r w:rsidRPr="007822EC">
        <w:rPr>
          <w:sz w:val="20"/>
          <w:szCs w:val="20"/>
        </w:rPr>
        <w:t xml:space="preserve"> Yahoo News. Aug. 24, 2011. </w:t>
      </w:r>
    </w:p>
  </w:endnote>
  <w:endnote w:id="30">
    <w:p w:rsidR="003268EA" w:rsidRPr="009718C8" w:rsidRDefault="003268EA">
      <w:pPr>
        <w:pStyle w:val="EndnoteText"/>
        <w:rPr>
          <w:sz w:val="20"/>
          <w:szCs w:val="20"/>
        </w:rPr>
      </w:pPr>
      <w:r w:rsidRPr="009718C8">
        <w:rPr>
          <w:rStyle w:val="EndnoteReference"/>
          <w:sz w:val="20"/>
          <w:szCs w:val="20"/>
        </w:rPr>
        <w:endnoteRef/>
      </w:r>
      <w:r w:rsidRPr="009718C8">
        <w:rPr>
          <w:sz w:val="20"/>
          <w:szCs w:val="20"/>
        </w:rPr>
        <w:t xml:space="preserve"> CDC. </w:t>
      </w:r>
      <w:hyperlink r:id="rId26" w:history="1">
        <w:r w:rsidRPr="009718C8">
          <w:rPr>
            <w:rStyle w:val="Hyperlink"/>
            <w:sz w:val="20"/>
            <w:szCs w:val="20"/>
          </w:rPr>
          <w:t>Vaccine Price List – 2011</w:t>
        </w:r>
      </w:hyperlink>
      <w:r w:rsidRPr="009718C8">
        <w:rPr>
          <w:sz w:val="20"/>
          <w:szCs w:val="20"/>
        </w:rPr>
        <w:t>.</w:t>
      </w:r>
    </w:p>
  </w:endnote>
  <w:endnote w:id="31">
    <w:p w:rsidR="003268EA" w:rsidRPr="00EE5017" w:rsidRDefault="003268EA">
      <w:pPr>
        <w:pStyle w:val="EndnoteText"/>
        <w:rPr>
          <w:sz w:val="20"/>
          <w:szCs w:val="20"/>
        </w:rPr>
      </w:pPr>
      <w:r w:rsidRPr="00EE5017">
        <w:rPr>
          <w:rStyle w:val="EndnoteReference"/>
          <w:sz w:val="20"/>
          <w:szCs w:val="20"/>
        </w:rPr>
        <w:endnoteRef/>
      </w:r>
      <w:r w:rsidRPr="00EE5017">
        <w:rPr>
          <w:sz w:val="20"/>
          <w:szCs w:val="20"/>
        </w:rPr>
        <w:t xml:space="preserve"> </w:t>
      </w:r>
      <w:r w:rsidRPr="00B96B7F">
        <w:rPr>
          <w:sz w:val="20"/>
          <w:szCs w:val="20"/>
        </w:rPr>
        <w:t xml:space="preserve">Virginia Office of the Attorney General. </w:t>
      </w:r>
      <w:hyperlink r:id="rId27" w:history="1">
        <w:r w:rsidRPr="00B96B7F">
          <w:rPr>
            <w:rStyle w:val="Hyperlink"/>
            <w:sz w:val="20"/>
            <w:szCs w:val="20"/>
          </w:rPr>
          <w:t>Family Relationships and the Law.</w:t>
        </w:r>
      </w:hyperlink>
      <w:r w:rsidRPr="00B96B7F">
        <w:rPr>
          <w:sz w:val="20"/>
          <w:szCs w:val="20"/>
        </w:rPr>
        <w:t xml:space="preserve"> Accessed Sept. 1, 2011.</w:t>
      </w:r>
      <w:r w:rsidRPr="00EE5017">
        <w:rPr>
          <w:sz w:val="20"/>
          <w:szCs w:val="20"/>
        </w:rPr>
        <w:t xml:space="preserve"> </w:t>
      </w:r>
    </w:p>
    <w:p w:rsidR="003268EA" w:rsidRDefault="003268EA">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7C" w:rsidRDefault="0049167C" w:rsidP="00C5168E">
      <w:r>
        <w:separator/>
      </w:r>
    </w:p>
  </w:footnote>
  <w:footnote w:type="continuationSeparator" w:id="0">
    <w:p w:rsidR="0049167C" w:rsidRDefault="0049167C" w:rsidP="00C51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7A1"/>
    <w:multiLevelType w:val="hybridMultilevel"/>
    <w:tmpl w:val="B7D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97AE9"/>
    <w:multiLevelType w:val="hybridMultilevel"/>
    <w:tmpl w:val="0B00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cumentProtection w:edit="readOnly" w:enforcement="1" w:cryptProviderType="rsaFull" w:cryptAlgorithmClass="hash" w:cryptAlgorithmType="typeAny" w:cryptAlgorithmSid="4" w:cryptSpinCount="100000" w:hash="oO/Xw2XXLDuwdwmzHSajRRTnGKU=" w:salt="T21GTZ8AZJ9T0+wBpae5PA=="/>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
  <w:rsids>
    <w:rsidRoot w:val="00CA3331"/>
    <w:rsid w:val="00041937"/>
    <w:rsid w:val="000657A3"/>
    <w:rsid w:val="00092018"/>
    <w:rsid w:val="000E4F05"/>
    <w:rsid w:val="000F661E"/>
    <w:rsid w:val="0012169D"/>
    <w:rsid w:val="00130C18"/>
    <w:rsid w:val="00134966"/>
    <w:rsid w:val="00162ACE"/>
    <w:rsid w:val="00177EE6"/>
    <w:rsid w:val="00183B08"/>
    <w:rsid w:val="001860B4"/>
    <w:rsid w:val="001863E5"/>
    <w:rsid w:val="001A2892"/>
    <w:rsid w:val="001A325C"/>
    <w:rsid w:val="001A57A6"/>
    <w:rsid w:val="001B12CC"/>
    <w:rsid w:val="001C1CD1"/>
    <w:rsid w:val="001C61BC"/>
    <w:rsid w:val="001E34DF"/>
    <w:rsid w:val="001F2563"/>
    <w:rsid w:val="0021105D"/>
    <w:rsid w:val="0021136B"/>
    <w:rsid w:val="0021219E"/>
    <w:rsid w:val="002339BC"/>
    <w:rsid w:val="0027616A"/>
    <w:rsid w:val="00294297"/>
    <w:rsid w:val="002B57F7"/>
    <w:rsid w:val="00302162"/>
    <w:rsid w:val="003155C1"/>
    <w:rsid w:val="003268EA"/>
    <w:rsid w:val="00350CA5"/>
    <w:rsid w:val="00371EB3"/>
    <w:rsid w:val="00383333"/>
    <w:rsid w:val="003B0C12"/>
    <w:rsid w:val="003B5262"/>
    <w:rsid w:val="003D0402"/>
    <w:rsid w:val="0040185F"/>
    <w:rsid w:val="00404B44"/>
    <w:rsid w:val="004200C7"/>
    <w:rsid w:val="0043147C"/>
    <w:rsid w:val="004510AD"/>
    <w:rsid w:val="0049167C"/>
    <w:rsid w:val="00492CBB"/>
    <w:rsid w:val="004B4107"/>
    <w:rsid w:val="0053221A"/>
    <w:rsid w:val="00533DD7"/>
    <w:rsid w:val="005A2D8B"/>
    <w:rsid w:val="005B195F"/>
    <w:rsid w:val="005B51BD"/>
    <w:rsid w:val="005C0772"/>
    <w:rsid w:val="005E6C46"/>
    <w:rsid w:val="00602628"/>
    <w:rsid w:val="00664943"/>
    <w:rsid w:val="00681236"/>
    <w:rsid w:val="0068151A"/>
    <w:rsid w:val="00692534"/>
    <w:rsid w:val="00697FAE"/>
    <w:rsid w:val="006A55A9"/>
    <w:rsid w:val="006E3617"/>
    <w:rsid w:val="007630D6"/>
    <w:rsid w:val="00763D7C"/>
    <w:rsid w:val="0076463E"/>
    <w:rsid w:val="007822EC"/>
    <w:rsid w:val="007F17FA"/>
    <w:rsid w:val="008032F4"/>
    <w:rsid w:val="00803DCE"/>
    <w:rsid w:val="0084573E"/>
    <w:rsid w:val="00896D0E"/>
    <w:rsid w:val="008A0D51"/>
    <w:rsid w:val="009014A9"/>
    <w:rsid w:val="009243FF"/>
    <w:rsid w:val="009256A4"/>
    <w:rsid w:val="00952167"/>
    <w:rsid w:val="009718C8"/>
    <w:rsid w:val="00987A96"/>
    <w:rsid w:val="009A245B"/>
    <w:rsid w:val="009A693C"/>
    <w:rsid w:val="009B6B99"/>
    <w:rsid w:val="009D7A19"/>
    <w:rsid w:val="009E6255"/>
    <w:rsid w:val="009F027B"/>
    <w:rsid w:val="00A16819"/>
    <w:rsid w:val="00A2166A"/>
    <w:rsid w:val="00A2313D"/>
    <w:rsid w:val="00A406F0"/>
    <w:rsid w:val="00A5063B"/>
    <w:rsid w:val="00A53D4D"/>
    <w:rsid w:val="00A77379"/>
    <w:rsid w:val="00A852EC"/>
    <w:rsid w:val="00AE3611"/>
    <w:rsid w:val="00B47DD1"/>
    <w:rsid w:val="00B47F74"/>
    <w:rsid w:val="00B54D9C"/>
    <w:rsid w:val="00B62EE2"/>
    <w:rsid w:val="00B9433E"/>
    <w:rsid w:val="00B96B7F"/>
    <w:rsid w:val="00BC3CF3"/>
    <w:rsid w:val="00BC7B80"/>
    <w:rsid w:val="00C4655B"/>
    <w:rsid w:val="00C501FE"/>
    <w:rsid w:val="00C5168E"/>
    <w:rsid w:val="00C55BBE"/>
    <w:rsid w:val="00C86E89"/>
    <w:rsid w:val="00CA1924"/>
    <w:rsid w:val="00CA3331"/>
    <w:rsid w:val="00CA3ED4"/>
    <w:rsid w:val="00CA61B7"/>
    <w:rsid w:val="00D2075F"/>
    <w:rsid w:val="00D36F2D"/>
    <w:rsid w:val="00D4382B"/>
    <w:rsid w:val="00D5004C"/>
    <w:rsid w:val="00D643B7"/>
    <w:rsid w:val="00D706AB"/>
    <w:rsid w:val="00D74BC2"/>
    <w:rsid w:val="00D83E25"/>
    <w:rsid w:val="00DC1C4E"/>
    <w:rsid w:val="00DE3BB1"/>
    <w:rsid w:val="00DF06DF"/>
    <w:rsid w:val="00DF28BD"/>
    <w:rsid w:val="00E001E1"/>
    <w:rsid w:val="00E14D64"/>
    <w:rsid w:val="00E2465B"/>
    <w:rsid w:val="00E61138"/>
    <w:rsid w:val="00E77CF3"/>
    <w:rsid w:val="00E941E7"/>
    <w:rsid w:val="00E95079"/>
    <w:rsid w:val="00E95311"/>
    <w:rsid w:val="00EE5017"/>
    <w:rsid w:val="00F12B31"/>
    <w:rsid w:val="00F4182B"/>
    <w:rsid w:val="00F52E59"/>
    <w:rsid w:val="00FC6414"/>
    <w:rsid w:val="00FE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4D"/>
    <w:pPr>
      <w:ind w:left="720"/>
      <w:contextualSpacing/>
    </w:pPr>
  </w:style>
  <w:style w:type="paragraph" w:styleId="EndnoteText">
    <w:name w:val="endnote text"/>
    <w:basedOn w:val="Normal"/>
    <w:link w:val="EndnoteTextChar"/>
    <w:uiPriority w:val="99"/>
    <w:unhideWhenUsed/>
    <w:rsid w:val="00C5168E"/>
  </w:style>
  <w:style w:type="character" w:customStyle="1" w:styleId="EndnoteTextChar">
    <w:name w:val="Endnote Text Char"/>
    <w:basedOn w:val="DefaultParagraphFont"/>
    <w:link w:val="EndnoteText"/>
    <w:uiPriority w:val="99"/>
    <w:rsid w:val="00C5168E"/>
  </w:style>
  <w:style w:type="character" w:styleId="EndnoteReference">
    <w:name w:val="endnote reference"/>
    <w:basedOn w:val="DefaultParagraphFont"/>
    <w:uiPriority w:val="99"/>
    <w:unhideWhenUsed/>
    <w:rsid w:val="00C5168E"/>
    <w:rPr>
      <w:vertAlign w:val="superscript"/>
    </w:rPr>
  </w:style>
  <w:style w:type="character" w:styleId="Hyperlink">
    <w:name w:val="Hyperlink"/>
    <w:basedOn w:val="DefaultParagraphFont"/>
    <w:uiPriority w:val="99"/>
    <w:unhideWhenUsed/>
    <w:rsid w:val="00C5168E"/>
    <w:rPr>
      <w:color w:val="0000FF" w:themeColor="hyperlink"/>
      <w:u w:val="single"/>
    </w:rPr>
  </w:style>
  <w:style w:type="paragraph" w:styleId="BalloonText">
    <w:name w:val="Balloon Text"/>
    <w:basedOn w:val="Normal"/>
    <w:link w:val="BalloonTextChar"/>
    <w:uiPriority w:val="99"/>
    <w:semiHidden/>
    <w:unhideWhenUsed/>
    <w:rsid w:val="009D7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A19"/>
    <w:rPr>
      <w:rFonts w:ascii="Lucida Grande" w:hAnsi="Lucida Grande" w:cs="Lucida Grande"/>
      <w:sz w:val="18"/>
      <w:szCs w:val="18"/>
    </w:rPr>
  </w:style>
  <w:style w:type="character" w:styleId="FollowedHyperlink">
    <w:name w:val="FollowedHyperlink"/>
    <w:basedOn w:val="DefaultParagraphFont"/>
    <w:uiPriority w:val="99"/>
    <w:semiHidden/>
    <w:unhideWhenUsed/>
    <w:rsid w:val="000419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4D"/>
    <w:pPr>
      <w:ind w:left="720"/>
      <w:contextualSpacing/>
    </w:pPr>
  </w:style>
  <w:style w:type="paragraph" w:styleId="EndnoteText">
    <w:name w:val="endnote text"/>
    <w:basedOn w:val="Normal"/>
    <w:link w:val="EndnoteTextChar"/>
    <w:uiPriority w:val="99"/>
    <w:unhideWhenUsed/>
    <w:rsid w:val="00C5168E"/>
  </w:style>
  <w:style w:type="character" w:customStyle="1" w:styleId="EndnoteTextChar">
    <w:name w:val="Endnote Text Char"/>
    <w:basedOn w:val="DefaultParagraphFont"/>
    <w:link w:val="EndnoteText"/>
    <w:uiPriority w:val="99"/>
    <w:rsid w:val="00C5168E"/>
  </w:style>
  <w:style w:type="character" w:styleId="EndnoteReference">
    <w:name w:val="endnote reference"/>
    <w:basedOn w:val="DefaultParagraphFont"/>
    <w:uiPriority w:val="99"/>
    <w:unhideWhenUsed/>
    <w:rsid w:val="00C5168E"/>
    <w:rPr>
      <w:vertAlign w:val="superscript"/>
    </w:rPr>
  </w:style>
  <w:style w:type="character" w:styleId="Hyperlink">
    <w:name w:val="Hyperlink"/>
    <w:basedOn w:val="DefaultParagraphFont"/>
    <w:uiPriority w:val="99"/>
    <w:unhideWhenUsed/>
    <w:rsid w:val="00C5168E"/>
    <w:rPr>
      <w:color w:val="0000FF" w:themeColor="hyperlink"/>
      <w:u w:val="single"/>
    </w:rPr>
  </w:style>
  <w:style w:type="paragraph" w:styleId="BalloonText">
    <w:name w:val="Balloon Text"/>
    <w:basedOn w:val="Normal"/>
    <w:link w:val="BalloonTextChar"/>
    <w:uiPriority w:val="99"/>
    <w:semiHidden/>
    <w:unhideWhenUsed/>
    <w:rsid w:val="009D7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A19"/>
    <w:rPr>
      <w:rFonts w:ascii="Lucida Grande" w:hAnsi="Lucida Grande" w:cs="Lucida Grande"/>
      <w:sz w:val="18"/>
      <w:szCs w:val="18"/>
    </w:rPr>
  </w:style>
  <w:style w:type="character" w:styleId="FollowedHyperlink">
    <w:name w:val="FollowedHyperlink"/>
    <w:basedOn w:val="DefaultParagraphFont"/>
    <w:uiPriority w:val="99"/>
    <w:semiHidden/>
    <w:unhideWhenUsed/>
    <w:rsid w:val="000419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VICAdvocac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ealth.am/ab/more/progress_made_toward_gonorrhea_vaccine/" TargetMode="External"/><Relationship Id="rId13" Type="http://schemas.openxmlformats.org/officeDocument/2006/relationships/hyperlink" Target="http://www.nap.edu/openbook.php?record_id=13164&amp;page=R9" TargetMode="External"/><Relationship Id="rId18" Type="http://schemas.openxmlformats.org/officeDocument/2006/relationships/hyperlink" Target="http://depts.washington.edu/bioethx/topics/consent.html" TargetMode="External"/><Relationship Id="rId26" Type="http://schemas.openxmlformats.org/officeDocument/2006/relationships/hyperlink" Target="http://www.cdc.gov/vaccines/programs/vfc/cdc-vac-price-list.htm" TargetMode="External"/><Relationship Id="rId3" Type="http://schemas.openxmlformats.org/officeDocument/2006/relationships/hyperlink" Target="http://www.robertslaw.org/refuse-medical-treatment.htm" TargetMode="External"/><Relationship Id="rId21" Type="http://schemas.openxmlformats.org/officeDocument/2006/relationships/hyperlink" Target="http://jpepsy.oxfordjournals.org/content/21/4/505.full.pdf+html" TargetMode="External"/><Relationship Id="rId7" Type="http://schemas.openxmlformats.org/officeDocument/2006/relationships/hyperlink" Target="http://www.masshightech.com/stories/2011/01/03/daily37-Genoceas-35M-VC-round-pushing-herpes-vaccine-toward-clinic-.html" TargetMode="External"/><Relationship Id="rId12" Type="http://schemas.openxmlformats.org/officeDocument/2006/relationships/hyperlink" Target="http://www.nap.edu/openbook.php?record_id=13164&amp;page=R9" TargetMode="External"/><Relationship Id="rId17" Type="http://schemas.openxmlformats.org/officeDocument/2006/relationships/hyperlink" Target="http://www.iep.utm.edu/hum-rts/" TargetMode="External"/><Relationship Id="rId25" Type="http://schemas.openxmlformats.org/officeDocument/2006/relationships/hyperlink" Target="http://news.yahoo.com/ca-ab-499-nixes-parental-consent-gardasil-shots-195400170.html" TargetMode="External"/><Relationship Id="rId2" Type="http://schemas.openxmlformats.org/officeDocument/2006/relationships/hyperlink" Target="http://www.vaccineethics.org/issue_briefs/consent.php" TargetMode="External"/><Relationship Id="rId16" Type="http://schemas.openxmlformats.org/officeDocument/2006/relationships/hyperlink" Target="http://eon.businesswire.com/news/eon/20110223005592/en/vaccination/immunization/national-vaccine-information-center" TargetMode="External"/><Relationship Id="rId20" Type="http://schemas.openxmlformats.org/officeDocument/2006/relationships/hyperlink" Target="http://www.lawandbioethics.com/demo/Main/LegalResources/C5/Arato.htm" TargetMode="External"/><Relationship Id="rId1" Type="http://schemas.openxmlformats.org/officeDocument/2006/relationships/hyperlink" Target="http://www.nvic.org/Vaccine-Laws/Federal-Law.aspx" TargetMode="External"/><Relationship Id="rId6" Type="http://schemas.openxmlformats.org/officeDocument/2006/relationships/hyperlink" Target="http://www.cbsnews.com/stories/2008/07/25/cbsnews_investigates/main4296175.shtml?tag=mncol;1st;2" TargetMode="External"/><Relationship Id="rId11" Type="http://schemas.openxmlformats.org/officeDocument/2006/relationships/hyperlink" Target="http://www.hrsa.gov/vaccinecompensation/statisticsreports.html" TargetMode="External"/><Relationship Id="rId24" Type="http://schemas.openxmlformats.org/officeDocument/2006/relationships/hyperlink" Target="http://www.hslda.org/docs/nche/000000/00000075.asp" TargetMode="External"/><Relationship Id="rId5" Type="http://schemas.openxmlformats.org/officeDocument/2006/relationships/hyperlink" Target="http://jama.ama-assn.org/content/302/7/781.abstract" TargetMode="External"/><Relationship Id="rId15" Type="http://schemas.openxmlformats.org/officeDocument/2006/relationships/hyperlink" Target="http://www.supremecourt.gov/opinions/10pdf/09-152.pdf" TargetMode="External"/><Relationship Id="rId23" Type="http://schemas.openxmlformats.org/officeDocument/2006/relationships/hyperlink" Target="http://www.dartmouth.edu/~news/releases/2006/02/06.html" TargetMode="External"/><Relationship Id="rId10" Type="http://schemas.openxmlformats.org/officeDocument/2006/relationships/hyperlink" Target="http://www.bbc.co.uk/news/health-13362927" TargetMode="External"/><Relationship Id="rId19" Type="http://schemas.openxmlformats.org/officeDocument/2006/relationships/hyperlink" Target="http://www.ama-assn.org/ama/pub/physician-resources/legal-topics/patient-physician-relationship-topics/informed-consent.page" TargetMode="External"/><Relationship Id="rId4" Type="http://schemas.openxmlformats.org/officeDocument/2006/relationships/hyperlink" Target="http://www.bloomberg.com/apps/news?pid=newsarchive&amp;sid=ady5Qqz20BnA&amp;refer=us" TargetMode="External"/><Relationship Id="rId9" Type="http://schemas.openxmlformats.org/officeDocument/2006/relationships/hyperlink" Target="http://www.sciencedaily.com/releases/2007/02/070208131910.htm" TargetMode="External"/><Relationship Id="rId14" Type="http://schemas.openxmlformats.org/officeDocument/2006/relationships/hyperlink" Target="http://www.medalerts.org/vaersdb/index.php" TargetMode="External"/><Relationship Id="rId22" Type="http://schemas.openxmlformats.org/officeDocument/2006/relationships/hyperlink" Target="http://www.mentalhelp.net/poc/view_doc.php?type=doc&amp;id=41157&amp;cn=1310" TargetMode="External"/><Relationship Id="rId27" Type="http://schemas.openxmlformats.org/officeDocument/2006/relationships/hyperlink" Target="http://www.virginiarules.com/virginia-rules/parent-child-and-family-relationships-and-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Instruments</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Loe Fisher</dc:creator>
  <cp:lastModifiedBy>Dawn</cp:lastModifiedBy>
  <cp:revision>2</cp:revision>
  <cp:lastPrinted>2011-09-01T16:09:00Z</cp:lastPrinted>
  <dcterms:created xsi:type="dcterms:W3CDTF">2011-09-15T17:56:00Z</dcterms:created>
  <dcterms:modified xsi:type="dcterms:W3CDTF">2011-09-15T17:56:00Z</dcterms:modified>
</cp:coreProperties>
</file>